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83B" w:rsidRPr="00CD4040" w:rsidRDefault="00624307" w:rsidP="000C405E">
      <w:pPr>
        <w:pStyle w:val="2"/>
        <w:rPr>
          <w:color w:val="000000"/>
          <w:sz w:val="40"/>
          <w:szCs w:val="40"/>
        </w:rPr>
      </w:pPr>
      <w:bookmarkStart w:id="0" w:name="_GoBack"/>
      <w:bookmarkEnd w:id="0"/>
      <w:r>
        <w:rPr>
          <w:color w:val="000000"/>
          <w:sz w:val="40"/>
          <w:szCs w:val="40"/>
          <w:lang w:val="en-US"/>
        </w:rPr>
        <w:t xml:space="preserve"> </w:t>
      </w:r>
    </w:p>
    <w:p w:rsidR="008F6E25" w:rsidRPr="003B32F0" w:rsidRDefault="008E5F09" w:rsidP="008F6E25">
      <w:pPr>
        <w:pStyle w:val="2"/>
        <w:jc w:val="center"/>
        <w:rPr>
          <w:sz w:val="40"/>
          <w:szCs w:val="40"/>
        </w:rPr>
      </w:pPr>
      <w:r w:rsidRPr="003B32F0">
        <w:rPr>
          <w:noProof/>
          <w:sz w:val="40"/>
          <w:szCs w:val="40"/>
        </w:rPr>
        <mc:AlternateContent>
          <mc:Choice Requires="wps">
            <w:drawing>
              <wp:inline distT="0" distB="0" distL="0" distR="0">
                <wp:extent cx="2486025" cy="342900"/>
                <wp:effectExtent l="9525" t="9525"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486025" cy="342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E5F09" w:rsidRDefault="008E5F09" w:rsidP="008E5F09">
                            <w:pPr>
                              <w:pStyle w:val="a9"/>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ОБЩИНСКИ  ПЛАН</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195.7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" filled="f" stroked="f">
                <v:stroke joinstyle="round"/>
                <o:lock v:ext="edit" shapetype="t"/>
                <v:textbox style="mso-fit-shape-to-text:t">
                  <w:txbxContent>
                    <w:p w:rsidR="008E5F09" w:rsidRDefault="008E5F09" w:rsidP="008E5F09">
                      <w:pPr>
                        <w:pStyle w:val="a9"/>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ОБЩИНСКИ  ПЛАН</w:t>
                      </w:r>
                    </w:p>
                  </w:txbxContent>
                </v:textbox>
                <w10:anchorlock/>
              </v:shape>
            </w:pict>
          </mc:Fallback>
        </mc:AlternateContent>
      </w:r>
    </w:p>
    <w:p w:rsidR="00437670" w:rsidRPr="003B32F0" w:rsidRDefault="008F6E25" w:rsidP="008F6E25">
      <w:pPr>
        <w:pStyle w:val="Default"/>
        <w:spacing w:line="360" w:lineRule="auto"/>
        <w:jc w:val="center"/>
        <w:rPr>
          <w:bCs/>
          <w:sz w:val="40"/>
          <w:szCs w:val="40"/>
        </w:rPr>
      </w:pPr>
      <w:r w:rsidRPr="003B32F0">
        <w:rPr>
          <w:sz w:val="40"/>
          <w:szCs w:val="40"/>
        </w:rPr>
        <w:t xml:space="preserve"> </w:t>
      </w:r>
      <w:r w:rsidR="00E5083B" w:rsidRPr="003B32F0">
        <w:rPr>
          <w:bCs/>
          <w:sz w:val="40"/>
          <w:szCs w:val="40"/>
        </w:rPr>
        <w:t>ЗА</w:t>
      </w:r>
      <w:r w:rsidR="009C601D" w:rsidRPr="003B32F0">
        <w:rPr>
          <w:bCs/>
          <w:sz w:val="40"/>
          <w:szCs w:val="40"/>
        </w:rPr>
        <w:t xml:space="preserve"> МЛАДЕЖТА В ОБЩИНА ВЕНЕЦ ЗА 20</w:t>
      </w:r>
      <w:r w:rsidR="00044392">
        <w:rPr>
          <w:bCs/>
          <w:sz w:val="40"/>
          <w:szCs w:val="40"/>
          <w:lang w:val="en-US"/>
        </w:rPr>
        <w:t>26</w:t>
      </w:r>
      <w:r w:rsidR="00437670" w:rsidRPr="003B32F0">
        <w:rPr>
          <w:bCs/>
          <w:sz w:val="40"/>
          <w:szCs w:val="40"/>
        </w:rPr>
        <w:t xml:space="preserve"> г.</w:t>
      </w:r>
    </w:p>
    <w:p w:rsidR="004508B5" w:rsidRPr="003B32F0" w:rsidRDefault="004508B5" w:rsidP="00E216B1">
      <w:pPr>
        <w:pStyle w:val="Default"/>
        <w:spacing w:after="120" w:line="360" w:lineRule="auto"/>
        <w:jc w:val="center"/>
        <w:rPr>
          <w:bCs/>
          <w:sz w:val="16"/>
          <w:szCs w:val="16"/>
          <w:lang w:val="ru-RU"/>
        </w:rPr>
      </w:pPr>
    </w:p>
    <w:p w:rsidR="00437670" w:rsidRPr="003B32F0" w:rsidRDefault="00437670" w:rsidP="00E216B1">
      <w:pPr>
        <w:spacing w:after="120" w:line="360" w:lineRule="auto"/>
        <w:ind w:firstLine="708"/>
        <w:jc w:val="both"/>
      </w:pPr>
      <w:r w:rsidRPr="003B32F0">
        <w:t>Настоящият План е документ, който следва основните приоритети на политиката за младите хора в страната, залегнали в Националната стратегия за младежта</w:t>
      </w:r>
      <w:r w:rsidR="00F028F1" w:rsidRPr="003B32F0">
        <w:t xml:space="preserve"> (2021-2030</w:t>
      </w:r>
      <w:r w:rsidRPr="003B32F0">
        <w:t xml:space="preserve">) на Република България - </w:t>
      </w:r>
      <w:r w:rsidR="00E877CC" w:rsidRPr="003B32F0">
        <w:t xml:space="preserve">засилване ролята на младите хора в обществото, поощряване на инициативи за ангажираност и участие, свързване и партньорство за по-добър старт в живота, очертаване на позитивна житейска перспектива и бъдеще. </w:t>
      </w:r>
    </w:p>
    <w:p w:rsidR="00AC0553" w:rsidRPr="003B32F0" w:rsidRDefault="00AC0553" w:rsidP="00E216B1">
      <w:pPr>
        <w:spacing w:after="120" w:line="360" w:lineRule="auto"/>
        <w:ind w:firstLine="708"/>
        <w:jc w:val="both"/>
      </w:pPr>
      <w:r w:rsidRPr="003B32F0">
        <w:t>Целевите групи, към които са насочени дейностите в Общинския план са: млади хора във възрастова граница 15-29 години без оглед на раса, етническа, национална, социална и културна принадлежност.</w:t>
      </w:r>
    </w:p>
    <w:p w:rsidR="00B7070B" w:rsidRDefault="00AC0553" w:rsidP="00E216B1">
      <w:pPr>
        <w:spacing w:after="120" w:line="360" w:lineRule="auto"/>
        <w:ind w:firstLine="708"/>
        <w:jc w:val="both"/>
      </w:pPr>
      <w:r w:rsidRPr="003B32F0">
        <w:t xml:space="preserve">Стратегическите цели, заложени в документа са свързани с </w:t>
      </w:r>
      <w:r w:rsidR="00B7070B">
        <w:t>образование и умения на младежите, младежко предприемачество и заетост, гражданска активност и участие, достъп до информация и услуги, политики за младите в малките населени места, физическо и психично здраве, свободно време и творчество и култура.</w:t>
      </w:r>
    </w:p>
    <w:p w:rsidR="0019160D" w:rsidRPr="00EA1C41" w:rsidRDefault="00B12963" w:rsidP="00EA1C41">
      <w:pPr>
        <w:spacing w:after="120" w:line="360" w:lineRule="auto"/>
        <w:ind w:firstLine="708"/>
        <w:jc w:val="both"/>
      </w:pPr>
      <w:r>
        <w:t>Настоящият план се о</w:t>
      </w:r>
      <w:r w:rsidR="004508B5" w:rsidRPr="003B32F0">
        <w:t xml:space="preserve">сновава на принципите на приемственост, последователност, съгласуваност и партньорство между държавните институции, гражданския сектор, младежките организации, както и на принципа на информираност на гражданите на община </w:t>
      </w:r>
      <w:r w:rsidR="00545A13" w:rsidRPr="003B32F0">
        <w:t>Венец</w:t>
      </w:r>
      <w:r w:rsidR="004508B5" w:rsidRPr="003B32F0">
        <w:t xml:space="preserve"> за провежданата общин</w:t>
      </w:r>
      <w:r w:rsidR="000C405E" w:rsidRPr="003B32F0">
        <w:t>ската младежка политика.</w:t>
      </w:r>
    </w:p>
    <w:p w:rsidR="00E00CA2" w:rsidRPr="003B32F0" w:rsidRDefault="00AE2AFF" w:rsidP="00684633">
      <w:pPr>
        <w:autoSpaceDE w:val="0"/>
        <w:autoSpaceDN w:val="0"/>
        <w:adjustRightInd w:val="0"/>
        <w:spacing w:line="360" w:lineRule="auto"/>
      </w:pPr>
      <w:r w:rsidRPr="003B32F0">
        <w:rPr>
          <w:b/>
          <w:u w:val="single"/>
        </w:rPr>
        <w:t>Основна цел:</w:t>
      </w:r>
      <w:r w:rsidRPr="003B32F0">
        <w:t xml:space="preserve"> </w:t>
      </w:r>
    </w:p>
    <w:p w:rsidR="000C405E" w:rsidRPr="00EA1C41" w:rsidRDefault="00AE2AFF" w:rsidP="00EA1C41">
      <w:pPr>
        <w:autoSpaceDE w:val="0"/>
        <w:autoSpaceDN w:val="0"/>
        <w:adjustRightInd w:val="0"/>
        <w:spacing w:line="360" w:lineRule="auto"/>
        <w:ind w:firstLine="708"/>
        <w:jc w:val="both"/>
        <w:rPr>
          <w:color w:val="000000"/>
        </w:rPr>
      </w:pPr>
      <w:r w:rsidRPr="003B32F0">
        <w:rPr>
          <w:color w:val="000000"/>
        </w:rPr>
        <w:t xml:space="preserve">Подобряване на условията на живот на младите хора за пълноценната им реализация в обществено-икономическия живот на общината. </w:t>
      </w:r>
    </w:p>
    <w:p w:rsidR="00044392" w:rsidRDefault="00044392" w:rsidP="00684633">
      <w:pPr>
        <w:autoSpaceDE w:val="0"/>
        <w:autoSpaceDN w:val="0"/>
        <w:adjustRightInd w:val="0"/>
        <w:spacing w:line="360" w:lineRule="auto"/>
        <w:jc w:val="both"/>
        <w:rPr>
          <w:b/>
          <w:bCs/>
          <w:color w:val="000000"/>
          <w:u w:val="single"/>
        </w:rPr>
      </w:pPr>
    </w:p>
    <w:p w:rsidR="001A251C" w:rsidRPr="003B32F0" w:rsidRDefault="001A251C" w:rsidP="00684633">
      <w:pPr>
        <w:autoSpaceDE w:val="0"/>
        <w:autoSpaceDN w:val="0"/>
        <w:adjustRightInd w:val="0"/>
        <w:spacing w:line="360" w:lineRule="auto"/>
        <w:jc w:val="both"/>
        <w:rPr>
          <w:color w:val="000000"/>
          <w:u w:val="single"/>
        </w:rPr>
      </w:pPr>
      <w:r w:rsidRPr="003B32F0">
        <w:rPr>
          <w:b/>
          <w:bCs/>
          <w:color w:val="000000"/>
          <w:u w:val="single"/>
        </w:rPr>
        <w:t>Приоритетни области на действие</w:t>
      </w:r>
    </w:p>
    <w:p w:rsidR="001A251C" w:rsidRPr="003B32F0" w:rsidRDefault="001A251C" w:rsidP="00684633">
      <w:pPr>
        <w:autoSpaceDE w:val="0"/>
        <w:autoSpaceDN w:val="0"/>
        <w:adjustRightInd w:val="0"/>
        <w:spacing w:line="360" w:lineRule="auto"/>
        <w:ind w:left="580"/>
        <w:jc w:val="both"/>
      </w:pPr>
    </w:p>
    <w:p w:rsidR="001A251C" w:rsidRPr="003B32F0" w:rsidRDefault="001A251C" w:rsidP="00684633">
      <w:pPr>
        <w:numPr>
          <w:ilvl w:val="0"/>
          <w:numId w:val="5"/>
        </w:numPr>
        <w:autoSpaceDE w:val="0"/>
        <w:autoSpaceDN w:val="0"/>
        <w:adjustRightInd w:val="0"/>
        <w:spacing w:line="360" w:lineRule="auto"/>
        <w:jc w:val="both"/>
      </w:pPr>
      <w:r w:rsidRPr="003B32F0">
        <w:t>Образование и заетост.</w:t>
      </w:r>
    </w:p>
    <w:p w:rsidR="001A251C" w:rsidRPr="003B32F0" w:rsidRDefault="001A251C" w:rsidP="00684633">
      <w:pPr>
        <w:numPr>
          <w:ilvl w:val="0"/>
          <w:numId w:val="5"/>
        </w:numPr>
        <w:autoSpaceDE w:val="0"/>
        <w:autoSpaceDN w:val="0"/>
        <w:adjustRightInd w:val="0"/>
        <w:spacing w:line="360" w:lineRule="auto"/>
        <w:jc w:val="both"/>
      </w:pPr>
      <w:r w:rsidRPr="003B32F0">
        <w:t>Гражданска активност и участие.</w:t>
      </w:r>
    </w:p>
    <w:p w:rsidR="001A251C" w:rsidRPr="00EA1C41" w:rsidRDefault="001A251C" w:rsidP="00684633">
      <w:pPr>
        <w:pStyle w:val="Default"/>
        <w:numPr>
          <w:ilvl w:val="0"/>
          <w:numId w:val="5"/>
        </w:numPr>
        <w:spacing w:line="360" w:lineRule="auto"/>
        <w:jc w:val="both"/>
        <w:rPr>
          <w:b/>
          <w:bCs/>
          <w:sz w:val="28"/>
          <w:szCs w:val="28"/>
        </w:rPr>
      </w:pPr>
      <w:r w:rsidRPr="003B32F0">
        <w:t>Физическо и психично здраве.</w:t>
      </w:r>
    </w:p>
    <w:p w:rsidR="00EA1C41" w:rsidRPr="003B32F0" w:rsidRDefault="00EA1C41" w:rsidP="00EA1C41">
      <w:pPr>
        <w:pStyle w:val="Default"/>
        <w:spacing w:line="360" w:lineRule="auto"/>
        <w:ind w:left="580"/>
        <w:jc w:val="both"/>
        <w:rPr>
          <w:b/>
          <w:bCs/>
          <w:sz w:val="28"/>
          <w:szCs w:val="28"/>
        </w:rPr>
      </w:pPr>
    </w:p>
    <w:p w:rsidR="00684633" w:rsidRPr="00684633" w:rsidRDefault="00EE6793" w:rsidP="00684633">
      <w:pPr>
        <w:numPr>
          <w:ilvl w:val="0"/>
          <w:numId w:val="7"/>
        </w:numPr>
        <w:spacing w:before="100" w:beforeAutospacing="1" w:after="100" w:afterAutospacing="1" w:line="360" w:lineRule="auto"/>
        <w:jc w:val="center"/>
        <w:rPr>
          <w:b/>
        </w:rPr>
      </w:pPr>
      <w:r w:rsidRPr="003B32F0">
        <w:rPr>
          <w:b/>
          <w:bCs/>
        </w:rPr>
        <w:lastRenderedPageBreak/>
        <w:t>АНАЛИЗ НА ПРЕДИЗВИКАТЕЛСТВАТА ПРЕД МЛАДИТЕ ХОРА В  ОБЩИНА ВЕНЕЦ</w:t>
      </w:r>
    </w:p>
    <w:p w:rsidR="00EE6793" w:rsidRPr="003B32F0" w:rsidRDefault="00EE6793" w:rsidP="00EE6793">
      <w:pPr>
        <w:spacing w:line="360" w:lineRule="auto"/>
        <w:ind w:firstLine="567"/>
        <w:jc w:val="both"/>
      </w:pPr>
      <w:r w:rsidRPr="003B32F0">
        <w:t>Младите хора във всяко едно общество се явяват гарант за бъдещето му. Поради</w:t>
      </w:r>
      <w:r w:rsidRPr="003B32F0">
        <w:br/>
        <w:t>тази причина създаването на възможности и условия за развитието им е ключов елемент в</w:t>
      </w:r>
      <w:r w:rsidRPr="003B32F0">
        <w:br/>
        <w:t>устойчивото им развитие. Създаването на такива възможности изисква обстоен анализ на</w:t>
      </w:r>
      <w:r w:rsidRPr="003B32F0">
        <w:br/>
        <w:t>проблемите, които младите хора срещат в ежедневието си. Необходимо е последващо</w:t>
      </w:r>
      <w:r w:rsidRPr="003B32F0">
        <w:br/>
        <w:t>планиране и приемане на мерки, за да може тези проблеми да бъдат преодолени.</w:t>
      </w:r>
    </w:p>
    <w:p w:rsidR="00EE6793" w:rsidRPr="003B32F0" w:rsidRDefault="00EE6793" w:rsidP="00EE6793">
      <w:pPr>
        <w:spacing w:line="360" w:lineRule="auto"/>
        <w:ind w:firstLine="567"/>
        <w:jc w:val="both"/>
      </w:pPr>
      <w:r w:rsidRPr="003B32F0">
        <w:t>Тенденциите на демографските процеси, които протичат в страната са характерни и за</w:t>
      </w:r>
      <w:r w:rsidRPr="003B32F0">
        <w:br/>
        <w:t>община Венец: намаляване на раждаемостта, отрицателен естествен прираст и миграция,</w:t>
      </w:r>
      <w:r w:rsidRPr="003B32F0">
        <w:br/>
        <w:t>застаряване на населението, особено в малките населени места, което води до</w:t>
      </w:r>
      <w:r w:rsidRPr="003B32F0">
        <w:br/>
        <w:t>прогресивно намаление на относителния дял на лицата в трудоспособна възраст.</w:t>
      </w:r>
    </w:p>
    <w:p w:rsidR="0019160D" w:rsidRDefault="00EE6793" w:rsidP="00EA1C41">
      <w:pPr>
        <w:spacing w:line="360" w:lineRule="auto"/>
        <w:ind w:firstLine="567"/>
        <w:jc w:val="both"/>
      </w:pPr>
      <w:r w:rsidRPr="003B32F0">
        <w:t xml:space="preserve">Младите хора в България са сред най-късно влизащите в пазара на труда в сравнение с другите държави от ЕС. В повечето случаи те нямат практически и трудов опит по придобитата специалност след завършване на своето образование и трудно се включват на пазара на труда. </w:t>
      </w:r>
    </w:p>
    <w:p w:rsidR="00EE6793" w:rsidRPr="003B32F0" w:rsidRDefault="003507D5" w:rsidP="0019160D">
      <w:pPr>
        <w:spacing w:before="100" w:beforeAutospacing="1" w:after="100" w:afterAutospacing="1" w:line="360" w:lineRule="auto"/>
      </w:pPr>
      <w:r>
        <w:rPr>
          <w:b/>
          <w:bCs/>
        </w:rPr>
        <w:t>2.</w:t>
      </w:r>
      <w:r w:rsidR="00EE6793" w:rsidRPr="003B32F0">
        <w:rPr>
          <w:b/>
          <w:bCs/>
        </w:rPr>
        <w:t xml:space="preserve"> </w:t>
      </w:r>
      <w:r w:rsidR="00DA02EE" w:rsidRPr="003B32F0">
        <w:rPr>
          <w:b/>
          <w:bCs/>
        </w:rPr>
        <w:t>ОБРАЗОВАНИЕ И ЗАЕТОСТ</w:t>
      </w:r>
    </w:p>
    <w:p w:rsidR="00EE6793" w:rsidRPr="003B32F0" w:rsidRDefault="00EE6793" w:rsidP="00EE6793">
      <w:pPr>
        <w:numPr>
          <w:ilvl w:val="0"/>
          <w:numId w:val="8"/>
        </w:numPr>
        <w:tabs>
          <w:tab w:val="clear" w:pos="720"/>
          <w:tab w:val="num" w:pos="993"/>
        </w:tabs>
        <w:spacing w:before="100" w:beforeAutospacing="1" w:after="100" w:afterAutospacing="1" w:line="360" w:lineRule="auto"/>
        <w:ind w:left="993" w:hanging="426"/>
      </w:pPr>
      <w:r w:rsidRPr="003B32F0">
        <w:rPr>
          <w:b/>
          <w:bCs/>
        </w:rPr>
        <w:t>Достъп до образование</w:t>
      </w:r>
    </w:p>
    <w:p w:rsidR="00E22BC3" w:rsidRDefault="00E22BC3" w:rsidP="00E22BC3">
      <w:pPr>
        <w:spacing w:line="360" w:lineRule="auto"/>
        <w:ind w:firstLine="567"/>
        <w:jc w:val="both"/>
      </w:pPr>
      <w:r>
        <w:t>Образованието е ключов фактор за пълноценната реализация и успешното включване на младите хора на пазара на труда. В този контекст то следва да развива и двете си основни направления – формалното образование и неформалното образование чрез учене през целия живот. Към настоящия момент е постигнат сравнително висок процент на обхващане на ученици от образователната система, подлежащи на задължително обучение до 16-годишна възраст. Въпреки това, основен проблем остава ограничената възможност за осъществяване на системен контрол и ефективно задържане в училище на млади хора от уязвими групи от населението, което повишава риска от ранно отпадане и социално изключване.</w:t>
      </w:r>
    </w:p>
    <w:p w:rsidR="00E22BC3" w:rsidRDefault="00E22BC3" w:rsidP="00E22BC3">
      <w:pPr>
        <w:spacing w:line="360" w:lineRule="auto"/>
        <w:ind w:firstLine="567"/>
        <w:jc w:val="both"/>
      </w:pPr>
      <w:r>
        <w:t>Практиките в областта на младежката заетост показват, че значителна част от младите хора започват работа, която не съответства на придобитата от тях специалност. Това се дължи основно на неправилен избор на образование и професионална насоченост, както и на несъответствие между образователната подготовка и реалните потребности на пазара на труда. При немалка част от младежите образованието не е пряко свързано с упражняваната трудова дейност, което води до по-ниска мотивация и ограничени възможности за професионално развитие.</w:t>
      </w:r>
    </w:p>
    <w:p w:rsidR="00E22BC3" w:rsidRDefault="00E22BC3" w:rsidP="00E22BC3">
      <w:pPr>
        <w:spacing w:line="360" w:lineRule="auto"/>
        <w:ind w:firstLine="567"/>
        <w:jc w:val="both"/>
      </w:pPr>
    </w:p>
    <w:p w:rsidR="00EE6793" w:rsidRPr="003B32F0" w:rsidRDefault="00E22BC3" w:rsidP="00E22BC3">
      <w:pPr>
        <w:spacing w:line="360" w:lineRule="auto"/>
        <w:ind w:firstLine="567"/>
        <w:jc w:val="both"/>
      </w:pPr>
      <w:r>
        <w:lastRenderedPageBreak/>
        <w:t>Допълнителен демотивиращ фактор е предлагането на ниско платени работни места, което затруднява задържането на младите хора в заетост. Основна пречка пред успешната реализация на младежите е и липсата на трудов опит, която ограничава достъпа им до стабилна заетост. В този контекст предприемачеството се очертава като алтернативна възможност за професионален старт, но и в тази област съществуват значителни предизвикателства. Много млади хора се въздържат от започване на собствен бизнес поради недостиг на практически умения, опит, предприемачески компетентности и начален финансов ресурс.</w:t>
      </w:r>
    </w:p>
    <w:p w:rsidR="00EE6793" w:rsidRDefault="00EE6793" w:rsidP="00EE6793">
      <w:pPr>
        <w:pStyle w:val="ac"/>
        <w:spacing w:line="360" w:lineRule="auto"/>
        <w:jc w:val="both"/>
        <w:rPr>
          <w:rFonts w:ascii="Times New Roman" w:hAnsi="Times New Roman" w:cs="Times New Roman"/>
          <w:lang w:val="bg-BG"/>
        </w:rPr>
      </w:pPr>
      <w:r w:rsidRPr="003B32F0">
        <w:rPr>
          <w:rFonts w:ascii="Times New Roman" w:hAnsi="Times New Roman" w:cs="Times New Roman"/>
        </w:rPr>
        <w:t xml:space="preserve">        Община </w:t>
      </w:r>
      <w:r w:rsidRPr="003B32F0">
        <w:rPr>
          <w:rFonts w:ascii="Times New Roman" w:hAnsi="Times New Roman" w:cs="Times New Roman"/>
          <w:lang w:val="bg-BG"/>
        </w:rPr>
        <w:t>Венец</w:t>
      </w:r>
      <w:r w:rsidRPr="003B32F0">
        <w:rPr>
          <w:rFonts w:ascii="Times New Roman" w:hAnsi="Times New Roman" w:cs="Times New Roman"/>
        </w:rPr>
        <w:t xml:space="preserve"> осигурява условия за модерно, качествено образование и възпитание на децата и учениците</w:t>
      </w:r>
      <w:r w:rsidRPr="003B32F0">
        <w:rPr>
          <w:rFonts w:ascii="Times New Roman" w:hAnsi="Times New Roman" w:cs="Times New Roman"/>
          <w:lang w:val="bg-BG"/>
        </w:rPr>
        <w:t xml:space="preserve">. </w:t>
      </w:r>
      <w:r w:rsidRPr="003B32F0">
        <w:rPr>
          <w:rFonts w:ascii="Times New Roman" w:hAnsi="Times New Roman" w:cs="Times New Roman"/>
        </w:rPr>
        <w:t xml:space="preserve">Училищната система в Община </w:t>
      </w:r>
      <w:r w:rsidR="00B014B2" w:rsidRPr="003B32F0">
        <w:rPr>
          <w:rFonts w:ascii="Times New Roman" w:hAnsi="Times New Roman" w:cs="Times New Roman"/>
          <w:lang w:val="bg-BG"/>
        </w:rPr>
        <w:t>Венец</w:t>
      </w:r>
      <w:r w:rsidRPr="003B32F0">
        <w:rPr>
          <w:rFonts w:ascii="Times New Roman" w:hAnsi="Times New Roman" w:cs="Times New Roman"/>
        </w:rPr>
        <w:t xml:space="preserve"> към настоящият момент отговаря на потребностите и изискванията на децата и учениците за образование. На територията на Община </w:t>
      </w:r>
      <w:r w:rsidR="00B014B2" w:rsidRPr="003B32F0">
        <w:rPr>
          <w:rFonts w:ascii="Times New Roman" w:hAnsi="Times New Roman" w:cs="Times New Roman"/>
          <w:lang w:val="bg-BG"/>
        </w:rPr>
        <w:t>Венец</w:t>
      </w:r>
      <w:r w:rsidRPr="003B32F0">
        <w:rPr>
          <w:rFonts w:ascii="Times New Roman" w:hAnsi="Times New Roman" w:cs="Times New Roman"/>
        </w:rPr>
        <w:t xml:space="preserve"> се намират </w:t>
      </w:r>
      <w:r w:rsidR="00B014B2" w:rsidRPr="003B32F0">
        <w:rPr>
          <w:rFonts w:ascii="Times New Roman" w:hAnsi="Times New Roman" w:cs="Times New Roman"/>
          <w:lang w:val="bg-BG"/>
        </w:rPr>
        <w:t>три училища – СУ „Н.</w:t>
      </w:r>
      <w:r w:rsidR="00CA714A">
        <w:rPr>
          <w:rFonts w:ascii="Times New Roman" w:hAnsi="Times New Roman" w:cs="Times New Roman"/>
          <w:lang w:val="en-US"/>
        </w:rPr>
        <w:t xml:space="preserve"> </w:t>
      </w:r>
      <w:r w:rsidR="00B014B2" w:rsidRPr="003B32F0">
        <w:rPr>
          <w:rFonts w:ascii="Times New Roman" w:hAnsi="Times New Roman" w:cs="Times New Roman"/>
          <w:lang w:val="bg-BG"/>
        </w:rPr>
        <w:t>Й.</w:t>
      </w:r>
      <w:r w:rsidR="00CA714A">
        <w:rPr>
          <w:rFonts w:ascii="Times New Roman" w:hAnsi="Times New Roman" w:cs="Times New Roman"/>
          <w:lang w:val="en-US"/>
        </w:rPr>
        <w:t xml:space="preserve"> </w:t>
      </w:r>
      <w:r w:rsidR="00B014B2" w:rsidRPr="003B32F0">
        <w:rPr>
          <w:rFonts w:ascii="Times New Roman" w:hAnsi="Times New Roman" w:cs="Times New Roman"/>
          <w:lang w:val="bg-BG"/>
        </w:rPr>
        <w:t>Вапцаров“ с.</w:t>
      </w:r>
      <w:r w:rsidR="00CA714A">
        <w:rPr>
          <w:rFonts w:ascii="Times New Roman" w:hAnsi="Times New Roman" w:cs="Times New Roman"/>
          <w:lang w:val="en-US"/>
        </w:rPr>
        <w:t xml:space="preserve"> </w:t>
      </w:r>
      <w:r w:rsidR="00B014B2" w:rsidRPr="003B32F0">
        <w:rPr>
          <w:rFonts w:ascii="Times New Roman" w:hAnsi="Times New Roman" w:cs="Times New Roman"/>
          <w:lang w:val="bg-BG"/>
        </w:rPr>
        <w:t>Венец, ОУ „Христо Смирненски“ с.</w:t>
      </w:r>
      <w:r w:rsidR="00CA714A">
        <w:rPr>
          <w:rFonts w:ascii="Times New Roman" w:hAnsi="Times New Roman" w:cs="Times New Roman"/>
          <w:lang w:val="en-US"/>
        </w:rPr>
        <w:t xml:space="preserve"> </w:t>
      </w:r>
      <w:r w:rsidR="00B014B2" w:rsidRPr="003B32F0">
        <w:rPr>
          <w:rFonts w:ascii="Times New Roman" w:hAnsi="Times New Roman" w:cs="Times New Roman"/>
          <w:lang w:val="bg-BG"/>
        </w:rPr>
        <w:t>Ясенково и ОУ „П.</w:t>
      </w:r>
      <w:r w:rsidR="00CA714A">
        <w:rPr>
          <w:rFonts w:ascii="Times New Roman" w:hAnsi="Times New Roman" w:cs="Times New Roman"/>
          <w:lang w:val="en-US"/>
        </w:rPr>
        <w:t xml:space="preserve"> </w:t>
      </w:r>
      <w:r w:rsidR="00B014B2" w:rsidRPr="003B32F0">
        <w:rPr>
          <w:rFonts w:ascii="Times New Roman" w:hAnsi="Times New Roman" w:cs="Times New Roman"/>
          <w:lang w:val="bg-BG"/>
        </w:rPr>
        <w:t>Р.</w:t>
      </w:r>
      <w:r w:rsidR="00CA714A">
        <w:rPr>
          <w:rFonts w:ascii="Times New Roman" w:hAnsi="Times New Roman" w:cs="Times New Roman"/>
          <w:lang w:val="en-US"/>
        </w:rPr>
        <w:t xml:space="preserve"> </w:t>
      </w:r>
      <w:r w:rsidR="00B014B2" w:rsidRPr="003B32F0">
        <w:rPr>
          <w:rFonts w:ascii="Times New Roman" w:hAnsi="Times New Roman" w:cs="Times New Roman"/>
          <w:lang w:val="bg-BG"/>
        </w:rPr>
        <w:t>Славейков“</w:t>
      </w:r>
      <w:r w:rsidR="00D43B16">
        <w:rPr>
          <w:rFonts w:ascii="Times New Roman" w:hAnsi="Times New Roman" w:cs="Times New Roman"/>
          <w:lang w:val="bg-BG"/>
        </w:rPr>
        <w:t xml:space="preserve"> с. Изгрев</w:t>
      </w:r>
      <w:r w:rsidR="00B014B2" w:rsidRPr="003B32F0">
        <w:rPr>
          <w:rFonts w:ascii="Times New Roman" w:hAnsi="Times New Roman" w:cs="Times New Roman"/>
          <w:lang w:val="bg-BG"/>
        </w:rPr>
        <w:t>.</w:t>
      </w:r>
    </w:p>
    <w:p w:rsidR="00E22BC3" w:rsidRPr="00E22BC3" w:rsidRDefault="00E22BC3" w:rsidP="00E22BC3">
      <w:pPr>
        <w:pStyle w:val="ac"/>
        <w:spacing w:line="360" w:lineRule="auto"/>
        <w:ind w:firstLine="567"/>
        <w:jc w:val="both"/>
        <w:rPr>
          <w:rFonts w:ascii="Times New Roman" w:hAnsi="Times New Roman" w:cs="Times New Roman"/>
          <w:lang w:val="bg-BG"/>
        </w:rPr>
      </w:pPr>
      <w:r w:rsidRPr="00E22BC3">
        <w:rPr>
          <w:rFonts w:ascii="Times New Roman" w:hAnsi="Times New Roman" w:cs="Times New Roman"/>
          <w:lang w:val="bg-BG"/>
        </w:rPr>
        <w:t>През 2025 г. приключи изпълнението на проект „Благоустрояване на дворното пространство на СУ „Никола Вапцаров“, с. Венец“. Проектът беше насочен към цялостно реновиране и модернизация на дворното пространство на училището с цел създаване на безопасна, функционална и привлекателна среда за спорт, отдих и активен начин на живот на учениците.</w:t>
      </w:r>
    </w:p>
    <w:p w:rsidR="00E22BC3" w:rsidRPr="00E22BC3" w:rsidRDefault="00E22BC3" w:rsidP="00E22BC3">
      <w:pPr>
        <w:pStyle w:val="ac"/>
        <w:spacing w:line="360" w:lineRule="auto"/>
        <w:ind w:firstLine="567"/>
        <w:jc w:val="both"/>
        <w:rPr>
          <w:rFonts w:ascii="Times New Roman" w:hAnsi="Times New Roman" w:cs="Times New Roman"/>
          <w:lang w:val="bg-BG"/>
        </w:rPr>
      </w:pPr>
      <w:r w:rsidRPr="00E22BC3">
        <w:rPr>
          <w:rFonts w:ascii="Times New Roman" w:hAnsi="Times New Roman" w:cs="Times New Roman"/>
          <w:lang w:val="bg-BG"/>
        </w:rPr>
        <w:t>В рамките на проекта съществуващите асфалтови настилки бяха изцяло обновени, като бяха обособени общо пет игрални и спортни площадки с акрилна настилка. Изградени бяха две спортни площадки за минифутбол, две многофункционални площадки, подходящи за практикуване на баскетбол, волейбол, тенис и бадмингтон</w:t>
      </w:r>
      <w:r w:rsidR="00480B92">
        <w:rPr>
          <w:rFonts w:ascii="Times New Roman" w:hAnsi="Times New Roman" w:cs="Times New Roman"/>
          <w:lang w:val="bg-BG"/>
        </w:rPr>
        <w:t>.</w:t>
      </w:r>
      <w:r w:rsidRPr="00E22BC3">
        <w:rPr>
          <w:rFonts w:ascii="Times New Roman" w:hAnsi="Times New Roman" w:cs="Times New Roman"/>
          <w:lang w:val="bg-BG"/>
        </w:rPr>
        <w:t xml:space="preserve"> Допълнително бяха изградени зона за фитнес на открито и площадка за обучение по безопасност на движението.</w:t>
      </w:r>
    </w:p>
    <w:p w:rsidR="00312748" w:rsidRPr="003B32F0" w:rsidRDefault="00E22BC3" w:rsidP="00E22BC3">
      <w:pPr>
        <w:pStyle w:val="ac"/>
        <w:spacing w:line="360" w:lineRule="auto"/>
        <w:ind w:firstLine="567"/>
        <w:jc w:val="both"/>
        <w:rPr>
          <w:rFonts w:ascii="Times New Roman" w:hAnsi="Times New Roman" w:cs="Times New Roman"/>
          <w:lang w:val="bg-BG"/>
        </w:rPr>
      </w:pPr>
      <w:r w:rsidRPr="00E22BC3">
        <w:rPr>
          <w:rFonts w:ascii="Times New Roman" w:hAnsi="Times New Roman" w:cs="Times New Roman"/>
          <w:lang w:val="bg-BG"/>
        </w:rPr>
        <w:t xml:space="preserve">По проекта беше извършена и доставка и монтаж на екстериорно оборудване и обзавеждане, необходими за пълноценното използване на спортните площадки и обновеното дворно пространство. Реализацията на проекта допринесе за подобряване на материалната база на училището, насърчаване на физическата активност и създаване на по-добри условия за здравословно и активно развитие на децата и младите хора в </w:t>
      </w:r>
      <w:r>
        <w:rPr>
          <w:rFonts w:ascii="Times New Roman" w:hAnsi="Times New Roman" w:cs="Times New Roman"/>
          <w:lang w:val="bg-BG"/>
        </w:rPr>
        <w:t>община</w:t>
      </w:r>
      <w:r w:rsidRPr="00E22BC3">
        <w:rPr>
          <w:rFonts w:ascii="Times New Roman" w:hAnsi="Times New Roman" w:cs="Times New Roman"/>
          <w:lang w:val="bg-BG"/>
        </w:rPr>
        <w:t xml:space="preserve"> Венец.</w:t>
      </w:r>
    </w:p>
    <w:p w:rsidR="00EE6793" w:rsidRPr="003B32F0" w:rsidRDefault="00EE6793" w:rsidP="00EE6793">
      <w:pPr>
        <w:spacing w:line="360" w:lineRule="auto"/>
        <w:ind w:left="40" w:right="60" w:firstLine="527"/>
        <w:jc w:val="both"/>
      </w:pPr>
      <w:r w:rsidRPr="003B32F0">
        <w:t>Преобладаващата част от младежите на възраст 20-29 години са завършили средно образование. От образователното ниво на младите хора, до голяма степен зависи мобилността им на пазара на труда, гарантираща по-добро заплащане, поддържане на по- висок жизнен стандарт и качество на живот.</w:t>
      </w:r>
    </w:p>
    <w:p w:rsidR="00EE6793" w:rsidRPr="003B32F0" w:rsidRDefault="00EE6793" w:rsidP="00EE6793">
      <w:pPr>
        <w:numPr>
          <w:ilvl w:val="0"/>
          <w:numId w:val="9"/>
        </w:numPr>
        <w:spacing w:before="100" w:beforeAutospacing="1" w:after="100" w:afterAutospacing="1"/>
      </w:pPr>
      <w:r w:rsidRPr="003B32F0">
        <w:rPr>
          <w:b/>
          <w:bCs/>
        </w:rPr>
        <w:t>Младежка заетост</w:t>
      </w:r>
    </w:p>
    <w:p w:rsidR="00C24188" w:rsidRPr="00C24188" w:rsidRDefault="00C24188" w:rsidP="00C24188">
      <w:pPr>
        <w:spacing w:line="360" w:lineRule="auto"/>
        <w:ind w:left="40" w:right="60" w:firstLine="527"/>
        <w:jc w:val="both"/>
      </w:pPr>
      <w:r w:rsidRPr="00C24188">
        <w:t xml:space="preserve">Младежката безработица следва да се разглежда в по-широк контекст, включващ и групата на младите хора, които не търсят активно трудова заетост. В действителност основният проблем представляват младежите, които нито работят, нито учат, нито участват в </w:t>
      </w:r>
      <w:r w:rsidRPr="00C24188">
        <w:lastRenderedPageBreak/>
        <w:t>обучение или квалификация, както и дългосрочно безработните млади хора. Особено уязвими са младежите, произхождащи от семейства с трайна безработица, ниско образование или неграмотност, липса на умения и професионална квалификация и живеещи в условия на бедност, при които съществува висок риск от възпроизвеждане на същите неблагоприятни социално-икономически характеристики.</w:t>
      </w:r>
    </w:p>
    <w:p w:rsidR="00C24188" w:rsidRPr="00C24188" w:rsidRDefault="00C24188" w:rsidP="00C24188">
      <w:pPr>
        <w:spacing w:line="360" w:lineRule="auto"/>
        <w:ind w:left="40" w:right="60" w:firstLine="527"/>
        <w:jc w:val="both"/>
      </w:pPr>
      <w:r w:rsidRPr="00C24188">
        <w:t>Значителна част от младежите, след приключване на обучението си в училище, не се възползват от възможностите за започване на предлаганата им работа или обучение, което ограничава тяхната конкурентоспособност на пазара на труда. В същото време все още липсва устойчива практика работодателите да инвестират в обучението, повишаването на квалификацията и професионалното развитие на младите работници и служители.</w:t>
      </w:r>
    </w:p>
    <w:p w:rsidR="00C24188" w:rsidRPr="00C24188" w:rsidRDefault="00C24188" w:rsidP="00C24188">
      <w:pPr>
        <w:spacing w:line="360" w:lineRule="auto"/>
        <w:ind w:left="40" w:right="60" w:firstLine="527"/>
        <w:jc w:val="both"/>
      </w:pPr>
      <w:r w:rsidRPr="00C24188">
        <w:t>Голяма част от заетите млади хора са демотивирани от ниското заплащане и незадоволителните условия на труд, което ги прави уязвими и ги насочва към участие в сивата икономика чрез временна или неквалифицирана заетост, дори когато притежават определен образователен ценз. В много случаи придобитите от тях специалности не отговарят на актуалните потребности на пазара на труда и не са конкурентоспособни към момента.</w:t>
      </w:r>
    </w:p>
    <w:p w:rsidR="00C24188" w:rsidRPr="00C24188" w:rsidRDefault="00C24188" w:rsidP="00C24188">
      <w:pPr>
        <w:spacing w:line="360" w:lineRule="auto"/>
        <w:ind w:left="40" w:right="60" w:firstLine="527"/>
        <w:jc w:val="both"/>
      </w:pPr>
      <w:r w:rsidRPr="00C24188">
        <w:t>За младежите, които са отпаднали от образователната система и не притежават завършена степен на образование или професионална квалификация, възможностите за устойчиво задържане на пазара на труда са силно ограничени. Част от завършилите средно образование млади хора, които не продължават обучението си във висше учебно заведение, започват първата възможна работа, без високи изисквания към условията на труд и перспективите за развитие.</w:t>
      </w:r>
    </w:p>
    <w:p w:rsidR="00EE6793" w:rsidRPr="003B32F0" w:rsidRDefault="00C24188" w:rsidP="00C24188">
      <w:pPr>
        <w:spacing w:line="360" w:lineRule="auto"/>
        <w:ind w:left="40" w:right="60" w:firstLine="527"/>
        <w:jc w:val="both"/>
      </w:pPr>
      <w:r w:rsidRPr="00C24188">
        <w:t>Младите хора без трудов опит са в особено неблагоприятно положение и са сред първите засегнати при влошаване на икономическите условия. Това налага необходимостта от целенасочени политики и мерки за подкрепа на младежката заетост, ранна интервенция, професионално ориентиране, придобиване на практически умения и насърчаване на активното участие на младите хора на пазара на труда.</w:t>
      </w:r>
    </w:p>
    <w:p w:rsidR="00E22BC3" w:rsidRPr="00C24188" w:rsidRDefault="00E22BC3" w:rsidP="00E22BC3">
      <w:pPr>
        <w:spacing w:line="360" w:lineRule="auto"/>
        <w:ind w:left="40" w:right="60" w:firstLine="527"/>
        <w:jc w:val="both"/>
      </w:pPr>
      <w:r w:rsidRPr="00C24188">
        <w:t>По данни на Дирекция „Бюро по труда“ – гр. Шумен, към 31.12.2025 г. общият брой на регистрираните безработни лица от община Венец е 557, като от тях 35 са младежи на възраст до 29 години. През 2025 г. общият брой на безработните лица от общината, включени</w:t>
      </w:r>
      <w:r w:rsidR="000D2BD2">
        <w:t xml:space="preserve"> в програми и мерки за заетост </w:t>
      </w:r>
      <w:r w:rsidRPr="00C24188">
        <w:t>е 298, от които 65 са млади хора до 29-годишна възраст.</w:t>
      </w:r>
    </w:p>
    <w:p w:rsidR="00E22BC3" w:rsidRPr="00C24188" w:rsidRDefault="00E22BC3" w:rsidP="00E22BC3">
      <w:pPr>
        <w:spacing w:line="360" w:lineRule="auto"/>
        <w:ind w:left="40" w:right="60" w:firstLine="527"/>
        <w:jc w:val="both"/>
      </w:pPr>
      <w:r w:rsidRPr="00C24188">
        <w:t>През 2025 г. Община Венец отново активно се възползва от възможностите, предоставяни от националните и европейските програми за насърчаване на младежката заетост. Проектите „Младежка заетост+“ и „Младежки практики“, финансирани по Програма „Развитие на човешките ресурси“, са насочени към подкрепа на млади хора до 29-годишна възраст чрез осигуряване на заетост, обучение и придобиване на практически опит в реална работна среда.</w:t>
      </w:r>
    </w:p>
    <w:p w:rsidR="00E22BC3" w:rsidRPr="00C24188" w:rsidRDefault="00E22BC3" w:rsidP="00E22BC3">
      <w:pPr>
        <w:spacing w:line="360" w:lineRule="auto"/>
        <w:ind w:left="40" w:right="60" w:firstLine="527"/>
        <w:jc w:val="both"/>
      </w:pPr>
      <w:r w:rsidRPr="00C24188">
        <w:lastRenderedPageBreak/>
        <w:t>В рамките на 2025 г. по проект „Млад</w:t>
      </w:r>
      <w:r w:rsidR="00325949" w:rsidRPr="00C24188">
        <w:t>ежка заетост+“ бяха назначени 26</w:t>
      </w:r>
      <w:r w:rsidRPr="00C24188">
        <w:t xml:space="preserve"> младежи със срок на заетост от 9 месеца, а по проект „Младежки практики“ – 46 млади хора със срок на заетост от 6 месеца, като по този проект възможност за участие имат и студенти. Включените младежи бяха ангажирани основно в кметствата на населените места на територията на общината, както и в структурите на общинската администрация.</w:t>
      </w:r>
    </w:p>
    <w:p w:rsidR="00312748" w:rsidRPr="00DF118F" w:rsidRDefault="00E22BC3" w:rsidP="00C24188">
      <w:pPr>
        <w:spacing w:line="360" w:lineRule="auto"/>
        <w:ind w:left="40" w:right="60" w:firstLine="527"/>
        <w:jc w:val="both"/>
      </w:pPr>
      <w:r w:rsidRPr="00C24188">
        <w:t>Община Венец целенасочено и последователно използва възможностите на тези програми, тъй като те дават реални и устойчиви резултати. Показателен е фактът, че значителна част от служителите, назначени на постоянен трудов договор в общинската администрация, са започнали своя професионален път именно чрез участие в подобни програми. Това ясно потвърждава, че мерките за младежка заетост представляват не временна подкрепа, а дългосрочна инвестиция в развитието на човешкия капитал в община Венец.</w:t>
      </w:r>
    </w:p>
    <w:p w:rsidR="00EE6793" w:rsidRPr="003B32F0" w:rsidRDefault="003507D5" w:rsidP="003507D5">
      <w:pPr>
        <w:spacing w:before="100" w:beforeAutospacing="1" w:after="100" w:afterAutospacing="1"/>
      </w:pPr>
      <w:r>
        <w:rPr>
          <w:b/>
          <w:bCs/>
        </w:rPr>
        <w:t>3.</w:t>
      </w:r>
      <w:r w:rsidR="00EE6793" w:rsidRPr="003B32F0">
        <w:rPr>
          <w:b/>
          <w:bCs/>
        </w:rPr>
        <w:t xml:space="preserve">  </w:t>
      </w:r>
      <w:r w:rsidR="00DA02EE" w:rsidRPr="003B32F0">
        <w:rPr>
          <w:b/>
          <w:bCs/>
        </w:rPr>
        <w:t>АНГАЖИРАНОСТ, УЧАСТИЕ И РАВНИ ВЪЗМОЖНОСТИ</w:t>
      </w:r>
    </w:p>
    <w:p w:rsidR="00EE6793" w:rsidRPr="003B32F0" w:rsidRDefault="00EE6793" w:rsidP="00EE6793">
      <w:pPr>
        <w:spacing w:line="360" w:lineRule="auto"/>
        <w:ind w:firstLine="567"/>
        <w:jc w:val="both"/>
      </w:pPr>
      <w:r w:rsidRPr="003B32F0">
        <w:t>През последните години значително се подобрява системата за информира</w:t>
      </w:r>
      <w:r w:rsidR="00684633">
        <w:t>ност</w:t>
      </w:r>
      <w:r w:rsidR="00684633">
        <w:br/>
        <w:t>на младите хора от населените места</w:t>
      </w:r>
      <w:r w:rsidRPr="003B32F0">
        <w:t xml:space="preserve"> на общината. В по-голяма част от тях има добра интернет-</w:t>
      </w:r>
      <w:r w:rsidRPr="003B32F0">
        <w:br/>
        <w:t>връзка, която се ползва както от частни лица, така и от училищата, детските градини,</w:t>
      </w:r>
      <w:r w:rsidRPr="003B32F0">
        <w:br/>
        <w:t>читалищата и кметствата. Непрекъснато се увеличава броят на младежите, които</w:t>
      </w:r>
      <w:r w:rsidRPr="003B32F0">
        <w:br/>
        <w:t>ползват личен компютър. За достъп до информация работят както общинската</w:t>
      </w:r>
      <w:r w:rsidRPr="003B32F0">
        <w:br/>
        <w:t>администрация така и Бюрото по труда и Дирекция „Социално подпомагане”.</w:t>
      </w:r>
    </w:p>
    <w:p w:rsidR="00EE6793" w:rsidRDefault="00EE6793" w:rsidP="00EE6793">
      <w:pPr>
        <w:spacing w:line="360" w:lineRule="auto"/>
        <w:ind w:firstLine="567"/>
        <w:jc w:val="both"/>
      </w:pPr>
      <w:r w:rsidRPr="003B32F0">
        <w:t xml:space="preserve">Читалищните библиотеки в Община </w:t>
      </w:r>
      <w:r w:rsidR="00DA02EE" w:rsidRPr="003B32F0">
        <w:t>Венец</w:t>
      </w:r>
      <w:r w:rsidRPr="003B32F0">
        <w:t xml:space="preserve"> целогодишно работят като средища за информация, комуникация, обучения и културна дейност. В част от читалищните библиотеки има оборудвани места с интернет достъп по програма „Глобални библиотеки“. Те дават възможност за информиране и достъп до услуги в подкрепа на развитието на младите хора. </w:t>
      </w:r>
    </w:p>
    <w:p w:rsidR="0084413A" w:rsidRPr="00C24188" w:rsidRDefault="007F4839" w:rsidP="0084413A">
      <w:pPr>
        <w:spacing w:line="360" w:lineRule="auto"/>
        <w:ind w:firstLine="567"/>
        <w:jc w:val="both"/>
      </w:pPr>
      <w:r w:rsidRPr="00C24188">
        <w:t xml:space="preserve">През 2025 г. три читалища /с. Ясенково, с. Черноглавци, с. Габрица/ спечелиха проекти </w:t>
      </w:r>
      <w:r w:rsidR="0084413A" w:rsidRPr="00C24188">
        <w:t xml:space="preserve">по процедурата за кандидатстване по мярката „Изграждане на мрежа от дигитални клубове“ по Плана за възстановяване и устойчивост. </w:t>
      </w:r>
      <w:r w:rsidRPr="00C24188">
        <w:t xml:space="preserve">Чрез реализацията на тези проекти </w:t>
      </w:r>
      <w:r w:rsidR="0084413A" w:rsidRPr="00C24188">
        <w:t>ще се създадат устойчиви условия за приобщаване на младежи от различ</w:t>
      </w:r>
      <w:r w:rsidR="00044392">
        <w:t>ни социални и възрастови групи.</w:t>
      </w:r>
    </w:p>
    <w:p w:rsidR="0084413A" w:rsidRPr="00C24188" w:rsidRDefault="0084413A" w:rsidP="00044392">
      <w:pPr>
        <w:spacing w:line="360" w:lineRule="auto"/>
        <w:ind w:firstLine="567"/>
        <w:jc w:val="both"/>
      </w:pPr>
      <w:r w:rsidRPr="00C24188">
        <w:t>Дигиталните клубове ще функционират като достъпни местни пространства за учене, предоставящи възможности за участие в електронни обучения и ползване на електронни услуги, като по този начин ще допринасят за намаляване на дигиталното неравенство и социалната изолация.</w:t>
      </w:r>
      <w:r w:rsidR="00044392">
        <w:t xml:space="preserve"> Те ще </w:t>
      </w:r>
      <w:r w:rsidRPr="00C24188">
        <w:rPr>
          <w:bCs/>
        </w:rPr>
        <w:t>ще бъдат оборудвани със съвременна модерна компютърна техника, позволяваща работа с различни платформи за електронно обучение, достъп до онлайн обучения и самообучение.</w:t>
      </w:r>
    </w:p>
    <w:p w:rsidR="0084413A" w:rsidRPr="003B32F0" w:rsidRDefault="0084413A" w:rsidP="00AA73F5">
      <w:pPr>
        <w:spacing w:line="360" w:lineRule="auto"/>
        <w:ind w:firstLine="567"/>
        <w:jc w:val="both"/>
      </w:pPr>
      <w:r w:rsidRPr="00C24188">
        <w:t xml:space="preserve">В рамките на всеки дигитален клуб ще бъдат назначени наставници, които ще оказват съдействие на участниците при избора на подходящи обучения, ще подпомагат използването на платформи за електронно обучение и електронни услуги и ще насърчават активното участие </w:t>
      </w:r>
      <w:r w:rsidRPr="00C24188">
        <w:lastRenderedPageBreak/>
        <w:t>на младите хора в процесите на учене и развитие. Реализирането на мярката ще допринесе за повишаване на младежката ангажираност, равните възможности и устойчивото социално-икономическо развитие на Община Венец.</w:t>
      </w:r>
    </w:p>
    <w:p w:rsidR="00312748" w:rsidRPr="003B32F0" w:rsidRDefault="00312748" w:rsidP="00A21A24">
      <w:pPr>
        <w:spacing w:line="360" w:lineRule="auto"/>
        <w:ind w:firstLine="567"/>
        <w:jc w:val="both"/>
      </w:pPr>
    </w:p>
    <w:p w:rsidR="00EE6793" w:rsidRPr="003507D5" w:rsidRDefault="00DA02EE" w:rsidP="003507D5">
      <w:pPr>
        <w:pStyle w:val="a8"/>
        <w:numPr>
          <w:ilvl w:val="0"/>
          <w:numId w:val="5"/>
        </w:numPr>
        <w:spacing w:before="100" w:beforeAutospacing="1" w:after="100" w:afterAutospacing="1" w:line="360" w:lineRule="auto"/>
        <w:rPr>
          <w:b/>
          <w:bCs/>
        </w:rPr>
      </w:pPr>
      <w:r w:rsidRPr="003507D5">
        <w:rPr>
          <w:b/>
          <w:bCs/>
        </w:rPr>
        <w:t>СОЦИАЛНО БЛАГОПОЛУЧИЕ, ФИЗИЧЕСКО И ПСИХИЧНО ЗДРАВЕ</w:t>
      </w:r>
    </w:p>
    <w:p w:rsidR="00901A7E" w:rsidRDefault="00901A7E" w:rsidP="00901A7E">
      <w:pPr>
        <w:spacing w:line="360" w:lineRule="auto"/>
        <w:ind w:firstLine="567"/>
        <w:jc w:val="both"/>
      </w:pPr>
      <w:r>
        <w:t>През последните години проведените статистически изследвания отчитат тревожни тенденции по отношение на здравето на децата и младите хора, свързани с поведенчески прояви като повишена агресивност, употреба на психоактивни вещества и формиране на други вредни навици. Не бива да се подценява и фактът, че част от младите хора развиват зависимости, което е ясен индикатор за влошаване на здравния статус и повишаване на социалната и здравната уязвимост сред младежите. Тези процеси налагат необходимостта от целенасочено промотиране на здравословен начин на живот и утвърждаване на хуманитарни и социални ценности сред децата и младите хора.</w:t>
      </w:r>
    </w:p>
    <w:p w:rsidR="00901A7E" w:rsidRDefault="00901A7E" w:rsidP="00901A7E">
      <w:pPr>
        <w:spacing w:line="360" w:lineRule="auto"/>
        <w:ind w:firstLine="567"/>
        <w:jc w:val="both"/>
      </w:pPr>
      <w:r>
        <w:t>Всичко това обосновава нуждата от разработване и прилагане на устойчиви програми и мерки, насочени към превенция на рисковото поведение, намаляване на здравните и социалните рискове и ограничаване на негативните последици от зависимостите. Политиките и дейностите по превенция и насърчаване на здравословния начин на живот на територията на община Венец се осъществяват съвместно от Регионална здравна инспекция – Шумен, медицинските специалисти, работещи в здравните кабинети на училищата, здравния медиатор и секретаря на Местната комисия за борба с противообществените прояви на малолетните и непълнолетните (МКБППМН).</w:t>
      </w:r>
    </w:p>
    <w:p w:rsidR="00901A7E" w:rsidRDefault="00901A7E" w:rsidP="00E6405B">
      <w:pPr>
        <w:spacing w:line="360" w:lineRule="auto"/>
        <w:ind w:firstLine="567"/>
        <w:jc w:val="both"/>
      </w:pPr>
      <w:r>
        <w:t>Темите, свързани със здравословния начин на живот, превенцията на зависимости и рисковото поведение, са заложени и в тематичното разпределение на класните ръководители, с активното участие на медицинските лица. Реализираните превантивни дейности и инициативи във всички училища на територията на общината, както и в Центъра за обществена подкрепа – Венец и МКБППМН, са насочени към предотвратяване на рисково поведение, свързано с употребата на наркотични вещества, алкохол и други вредни зависимости. В тази връзка се провеждат информационни беседи, кампании и инициативи, включително кампании, свързани с превенция на ХИВ/СПИН и злоупотребата с алкохол.</w:t>
      </w:r>
    </w:p>
    <w:p w:rsidR="00901A7E" w:rsidRDefault="00901A7E" w:rsidP="00AA73F5">
      <w:pPr>
        <w:spacing w:line="360" w:lineRule="auto"/>
        <w:ind w:firstLine="567"/>
        <w:jc w:val="both"/>
      </w:pPr>
      <w:r>
        <w:t>Младите хора, обхванати от образователната система, активно участват в спортни дейности както в часовете по физическо възпитание и спорт, така и в различни извънучилищни форми. Учениците се включват в спортни турнири и състезания, които допринасят за изграждане на спортна култура и отборен дух. На територията на община Венец функционират два спортни клуба, които предоставят възможности за организирани спортни занимания.</w:t>
      </w:r>
    </w:p>
    <w:p w:rsidR="00BC13A5" w:rsidRDefault="00901A7E" w:rsidP="00901A7E">
      <w:pPr>
        <w:spacing w:line="360" w:lineRule="auto"/>
        <w:ind w:firstLine="567"/>
        <w:jc w:val="both"/>
      </w:pPr>
      <w:r>
        <w:lastRenderedPageBreak/>
        <w:t>Общината разполага със стадиони, многофункционални спортни площадки и фитнес уреди на открито, които създават условия за активен и здравословен начин на живот. Чрез участието в спортни дейности младите хора развиват ценни физически, психически и социални качества, осъществява се превенция на редица заболявания, както и превенция на противообществените прояви и престъпността. По този начин спортът се утвърждава като ефективен инструмент за социално включване и устойчиво развитие на децата и младите хора в община Венец.</w:t>
      </w:r>
      <w:r w:rsidR="00EE6793" w:rsidRPr="003B32F0">
        <w:t xml:space="preserve"> </w:t>
      </w:r>
    </w:p>
    <w:p w:rsidR="00C24188" w:rsidRPr="00C24188" w:rsidRDefault="00912D8F" w:rsidP="00912D8F">
      <w:pPr>
        <w:spacing w:line="360" w:lineRule="auto"/>
        <w:ind w:firstLine="567"/>
        <w:jc w:val="both"/>
      </w:pPr>
      <w:r w:rsidRPr="00C24188">
        <w:t>През 2025 г. за втора поредна година Община Венец организира летен младежки тридневен фестивал, който се утвърждава като значима инициатива за активиране и ангажиране на младите хора на територията на общината. Фестивалът се провежда през летните месеци и предлага богата и разнообразна развлекателна програма</w:t>
      </w:r>
      <w:r w:rsidR="00C24188" w:rsidRPr="00C24188">
        <w:t>.</w:t>
      </w:r>
    </w:p>
    <w:p w:rsidR="00912D8F" w:rsidRDefault="00912D8F" w:rsidP="00AA73F5">
      <w:pPr>
        <w:spacing w:line="360" w:lineRule="auto"/>
        <w:ind w:firstLine="567"/>
        <w:jc w:val="both"/>
      </w:pPr>
      <w:r w:rsidRPr="00C24188">
        <w:t>Инициативата среща изключително положителен обществен отзвук и се радва на засилен интерес и подкрепа от страна на жителите на община Венец. Фестивалът създава възможности за социални контакти, неформално общуване и активен отдих, като допринася за укрепване на чувството за общност, насърчаване на младежката активност и подобряване качеството на живот в населените места на общината.</w:t>
      </w:r>
    </w:p>
    <w:p w:rsidR="0044740D" w:rsidRPr="00ED44E0" w:rsidRDefault="0044740D" w:rsidP="0044740D">
      <w:pPr>
        <w:spacing w:line="360" w:lineRule="auto"/>
        <w:ind w:firstLine="567"/>
        <w:jc w:val="both"/>
      </w:pPr>
      <w:r w:rsidRPr="00ED44E0">
        <w:t>През 2026 г. ще стартира изпълнението на проект „Благоустрояване на парково пространство в кв. 31 в с. Осеновец, Община Венец – Етап 1“, по Договор № 27/Г.6/01/003669-C01 от 21.10.2025 г., сключен между Община Венец и Държавен фонд „Земеделие“ за предоставяне на безвъзмездна финансова помощ по Интервенция „II.Г.6 – Инвестиции в основни услуги и дребни по мащаби инфраструктура в селските райони“ от Стратегическия план за развитие на земеделието и селските райони на Република България за периода 2023–2027 г.</w:t>
      </w:r>
    </w:p>
    <w:p w:rsidR="0044740D" w:rsidRPr="00ED44E0" w:rsidRDefault="0044740D" w:rsidP="0044740D">
      <w:pPr>
        <w:spacing w:line="360" w:lineRule="auto"/>
        <w:ind w:firstLine="567"/>
        <w:jc w:val="both"/>
      </w:pPr>
      <w:r w:rsidRPr="00ED44E0">
        <w:t>Проектът предвижда цялостно обновяване на парково пространство, разположено в кв. 31 по плана на с. Осеновец, като планираните дейности ще бъдат реализирани в два етапа. Първият етап включва оформяне на основната алейна мрежа с паважна настилка, както и доставка и монтаж на екстериорно обзавеждане.</w:t>
      </w:r>
    </w:p>
    <w:p w:rsidR="00B629C2" w:rsidRPr="002D438E" w:rsidRDefault="0044740D" w:rsidP="002D438E">
      <w:pPr>
        <w:spacing w:line="360" w:lineRule="auto"/>
        <w:ind w:firstLine="567"/>
        <w:jc w:val="both"/>
        <w:rPr>
          <w:highlight w:val="yellow"/>
        </w:rPr>
      </w:pPr>
      <w:r w:rsidRPr="00ED44E0">
        <w:t>С реализирането на проекта ще се подобри общинската публична инфраструктура за широко обществено ползване и ще се създадат по-добри и качествени условия за отдих, социални контакти и игри на открито, с акцент върху нуждите на децата и младите хора в с. Осеновец. Проектът ще допринесе за повишаване качеството на живот и за развитието на устойчиви и приобщаващи обществени пространства на територията на Община Венец.</w:t>
      </w:r>
    </w:p>
    <w:p w:rsidR="00DA02EE" w:rsidRDefault="00DA02EE" w:rsidP="00EE6793">
      <w:pPr>
        <w:spacing w:line="360" w:lineRule="auto"/>
        <w:ind w:firstLine="567"/>
        <w:jc w:val="both"/>
      </w:pPr>
      <w:r w:rsidRPr="003B32F0">
        <w:t>Социалното подпомагане на хората в неравностойно положение от общината,</w:t>
      </w:r>
      <w:r w:rsidRPr="003B32F0">
        <w:br/>
        <w:t>включително и на младите хора, се осъществява в съответствие с изискванията на</w:t>
      </w:r>
      <w:r w:rsidRPr="003B32F0">
        <w:br/>
        <w:t>Закона за социалнот</w:t>
      </w:r>
      <w:r w:rsidR="00C441DD">
        <w:t>о подпомагане. Община Венец</w:t>
      </w:r>
      <w:r w:rsidRPr="003B32F0">
        <w:t xml:space="preserve"> предоставя социални услуги на деца и </w:t>
      </w:r>
      <w:r w:rsidRPr="003B32F0">
        <w:lastRenderedPageBreak/>
        <w:t>младежи в неравностойно положение. В Център за обществена подкрепа – Венец се предоставят социални услуги в общността на деца и младежи.</w:t>
      </w:r>
    </w:p>
    <w:p w:rsidR="00724325" w:rsidRPr="00ED44E0" w:rsidRDefault="00724325" w:rsidP="00724325">
      <w:pPr>
        <w:spacing w:line="360" w:lineRule="auto"/>
        <w:ind w:firstLine="567"/>
        <w:jc w:val="both"/>
      </w:pPr>
      <w:r w:rsidRPr="00ED44E0">
        <w:t>Всяка година, с решение на Общинския съвет, Община Венец отпуска еднократна финансова помощ на абитуриенти, завършили средното си образование в СУ „Н. Й. Вапцаров“. През 2025 г. общо 9 абитуриенти получиха финансова подкрепа в размер на 300 лв</w:t>
      </w:r>
    </w:p>
    <w:p w:rsidR="00724325" w:rsidRPr="00ED44E0" w:rsidRDefault="00724325" w:rsidP="00724325">
      <w:pPr>
        <w:spacing w:line="360" w:lineRule="auto"/>
        <w:ind w:firstLine="567"/>
        <w:jc w:val="both"/>
      </w:pPr>
      <w:r w:rsidRPr="00ED44E0">
        <w:t>През 2025 г., отново с решение на Общинския съвет, Община Венец предостави еднократна финансова помощ на студенти в редовна форма на обучение. През отчетния период общо 65 студенти в редовна форма на обучение получиха финанс</w:t>
      </w:r>
      <w:r w:rsidR="00673EEE" w:rsidRPr="00ED44E0">
        <w:t>ова подкрепа в размер на 150 лв</w:t>
      </w:r>
      <w:r w:rsidRPr="00ED44E0">
        <w:t>. Подкрепата е насочена към насърчаване на продължаването на образованието и задържането на младите хора в образователната система.</w:t>
      </w:r>
    </w:p>
    <w:p w:rsidR="00E5083B" w:rsidRPr="00D43B16" w:rsidRDefault="00E5083B" w:rsidP="001976CB">
      <w:pPr>
        <w:autoSpaceDE w:val="0"/>
        <w:autoSpaceDN w:val="0"/>
        <w:adjustRightInd w:val="0"/>
        <w:spacing w:line="360" w:lineRule="auto"/>
        <w:jc w:val="both"/>
        <w:rPr>
          <w:b/>
          <w:bCs/>
          <w:color w:val="000000"/>
        </w:rPr>
      </w:pPr>
    </w:p>
    <w:p w:rsidR="00AE2AFF" w:rsidRPr="003507D5" w:rsidRDefault="003507D5" w:rsidP="003507D5">
      <w:pPr>
        <w:pStyle w:val="a8"/>
        <w:numPr>
          <w:ilvl w:val="0"/>
          <w:numId w:val="5"/>
        </w:numPr>
        <w:autoSpaceDE w:val="0"/>
        <w:autoSpaceDN w:val="0"/>
        <w:adjustRightInd w:val="0"/>
        <w:spacing w:line="360" w:lineRule="auto"/>
        <w:jc w:val="both"/>
        <w:rPr>
          <w:color w:val="000000"/>
        </w:rPr>
      </w:pPr>
      <w:r w:rsidRPr="003507D5">
        <w:rPr>
          <w:b/>
          <w:bCs/>
          <w:color w:val="000000"/>
        </w:rPr>
        <w:t>ПУБЛИЧНОСТ</w:t>
      </w:r>
    </w:p>
    <w:p w:rsidR="00441770" w:rsidRPr="00B12963" w:rsidRDefault="00AE2AFF" w:rsidP="00B12963">
      <w:pPr>
        <w:autoSpaceDE w:val="0"/>
        <w:autoSpaceDN w:val="0"/>
        <w:adjustRightInd w:val="0"/>
        <w:spacing w:line="360" w:lineRule="auto"/>
        <w:ind w:firstLine="709"/>
        <w:jc w:val="both"/>
        <w:rPr>
          <w:color w:val="000000"/>
        </w:rPr>
      </w:pPr>
      <w:r w:rsidRPr="003B32F0">
        <w:rPr>
          <w:color w:val="000000"/>
        </w:rPr>
        <w:t xml:space="preserve">Планът за действие е разработен като отворен документ, който ще се актуализира, допълва и изменя на база регламентирани периодични анализи. </w:t>
      </w:r>
    </w:p>
    <w:p w:rsidR="00312748" w:rsidRDefault="00312748" w:rsidP="009B31C3">
      <w:pPr>
        <w:pStyle w:val="Default"/>
        <w:rPr>
          <w:b/>
          <w:bCs/>
          <w:u w:val="single"/>
        </w:rPr>
      </w:pPr>
    </w:p>
    <w:p w:rsidR="00441770" w:rsidRDefault="00441770" w:rsidP="00437670">
      <w:pPr>
        <w:pStyle w:val="Default"/>
        <w:jc w:val="center"/>
        <w:rPr>
          <w:b/>
          <w:bCs/>
          <w:u w:val="single"/>
        </w:rPr>
      </w:pPr>
    </w:p>
    <w:p w:rsidR="00437670" w:rsidRDefault="0042717A" w:rsidP="00437670">
      <w:pPr>
        <w:pStyle w:val="Default"/>
        <w:jc w:val="center"/>
        <w:rPr>
          <w:b/>
          <w:bCs/>
          <w:u w:val="single"/>
        </w:rPr>
      </w:pPr>
      <w:r w:rsidRPr="003B32F0">
        <w:rPr>
          <w:b/>
          <w:bCs/>
          <w:u w:val="single"/>
        </w:rPr>
        <w:t xml:space="preserve">ОБЩИНСКИ </w:t>
      </w:r>
      <w:r w:rsidR="00E5083B" w:rsidRPr="003B32F0">
        <w:rPr>
          <w:b/>
          <w:bCs/>
          <w:u w:val="single"/>
        </w:rPr>
        <w:t>ПЛАН ЗА М</w:t>
      </w:r>
      <w:r w:rsidR="009B31C3">
        <w:rPr>
          <w:b/>
          <w:bCs/>
          <w:u w:val="single"/>
        </w:rPr>
        <w:t>ЛАДЕЖТА В ОБЩИНА ВЕНЕЦ ЗА 2026</w:t>
      </w:r>
      <w:r w:rsidRPr="003B32F0">
        <w:rPr>
          <w:b/>
          <w:bCs/>
          <w:u w:val="single"/>
        </w:rPr>
        <w:t xml:space="preserve"> г.</w:t>
      </w:r>
    </w:p>
    <w:p w:rsidR="001A251C" w:rsidRPr="003B32F0" w:rsidRDefault="001A251C" w:rsidP="00437670">
      <w:pPr>
        <w:pStyle w:val="Default"/>
        <w:jc w:val="center"/>
        <w:rPr>
          <w:b/>
          <w:bCs/>
          <w:u w:val="single"/>
          <w:lang w:val="ru-RU"/>
        </w:rPr>
      </w:pPr>
    </w:p>
    <w:p w:rsidR="00E5083B" w:rsidRPr="003B32F0" w:rsidRDefault="00E5083B" w:rsidP="0042717A">
      <w:pPr>
        <w:pStyle w:val="Default"/>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4998"/>
        <w:gridCol w:w="2349"/>
        <w:gridCol w:w="2119"/>
      </w:tblGrid>
      <w:tr w:rsidR="002A00CC" w:rsidRPr="003B32F0" w:rsidTr="00F15AB1">
        <w:tc>
          <w:tcPr>
            <w:tcW w:w="707" w:type="dxa"/>
          </w:tcPr>
          <w:p w:rsidR="002A00CC" w:rsidRPr="003B32F0" w:rsidRDefault="002A00CC" w:rsidP="00F75CCA">
            <w:pPr>
              <w:rPr>
                <w:b/>
              </w:rPr>
            </w:pPr>
            <w:r w:rsidRPr="003B32F0">
              <w:rPr>
                <w:b/>
              </w:rPr>
              <w:t>№</w:t>
            </w:r>
          </w:p>
        </w:tc>
        <w:tc>
          <w:tcPr>
            <w:tcW w:w="4998" w:type="dxa"/>
          </w:tcPr>
          <w:p w:rsidR="002A00CC" w:rsidRPr="003B32F0" w:rsidRDefault="003507D5" w:rsidP="00F75CCA">
            <w:pPr>
              <w:jc w:val="center"/>
              <w:rPr>
                <w:b/>
              </w:rPr>
            </w:pPr>
            <w:r>
              <w:rPr>
                <w:b/>
              </w:rPr>
              <w:t>Приоритетни области, и</w:t>
            </w:r>
            <w:r w:rsidR="002A00CC" w:rsidRPr="003B32F0">
              <w:rPr>
                <w:b/>
              </w:rPr>
              <w:t>нициативи, дейности</w:t>
            </w:r>
          </w:p>
        </w:tc>
        <w:tc>
          <w:tcPr>
            <w:tcW w:w="2349" w:type="dxa"/>
          </w:tcPr>
          <w:p w:rsidR="002A00CC" w:rsidRPr="003B32F0" w:rsidRDefault="002A00CC" w:rsidP="00F75CCA">
            <w:pPr>
              <w:jc w:val="center"/>
              <w:rPr>
                <w:b/>
              </w:rPr>
            </w:pPr>
            <w:r w:rsidRPr="003B32F0">
              <w:rPr>
                <w:b/>
              </w:rPr>
              <w:t>Източник на финансиране</w:t>
            </w:r>
          </w:p>
        </w:tc>
        <w:tc>
          <w:tcPr>
            <w:tcW w:w="2119" w:type="dxa"/>
          </w:tcPr>
          <w:p w:rsidR="002A00CC" w:rsidRPr="003B32F0" w:rsidRDefault="00BF6480" w:rsidP="00F75CCA">
            <w:pPr>
              <w:jc w:val="center"/>
              <w:rPr>
                <w:b/>
              </w:rPr>
            </w:pPr>
            <w:r w:rsidRPr="003B32F0">
              <w:rPr>
                <w:b/>
              </w:rPr>
              <w:t>Отговорни институции</w:t>
            </w:r>
          </w:p>
        </w:tc>
      </w:tr>
      <w:tr w:rsidR="002A00CC" w:rsidRPr="003B32F0" w:rsidTr="00F15AB1">
        <w:tc>
          <w:tcPr>
            <w:tcW w:w="707" w:type="dxa"/>
          </w:tcPr>
          <w:p w:rsidR="002A00CC" w:rsidRPr="003B32F0" w:rsidRDefault="002A00CC" w:rsidP="00F75CCA">
            <w:pPr>
              <w:rPr>
                <w:b/>
              </w:rPr>
            </w:pPr>
            <w:r w:rsidRPr="003B32F0">
              <w:rPr>
                <w:b/>
              </w:rPr>
              <w:t>І.</w:t>
            </w:r>
          </w:p>
        </w:tc>
        <w:tc>
          <w:tcPr>
            <w:tcW w:w="4998" w:type="dxa"/>
          </w:tcPr>
          <w:p w:rsidR="002A00CC" w:rsidRPr="003B32F0" w:rsidRDefault="00032D1C" w:rsidP="00F5245C">
            <w:pPr>
              <w:jc w:val="both"/>
              <w:rPr>
                <w:b/>
              </w:rPr>
            </w:pPr>
            <w:r>
              <w:rPr>
                <w:b/>
              </w:rPr>
              <w:t>ОБРАЗОВАНИЕ И ЗАЕТОСТ</w:t>
            </w:r>
          </w:p>
        </w:tc>
        <w:tc>
          <w:tcPr>
            <w:tcW w:w="2349" w:type="dxa"/>
          </w:tcPr>
          <w:p w:rsidR="002A00CC" w:rsidRPr="003B32F0" w:rsidRDefault="002A00CC" w:rsidP="00F75CCA">
            <w:pPr>
              <w:jc w:val="center"/>
            </w:pPr>
          </w:p>
        </w:tc>
        <w:tc>
          <w:tcPr>
            <w:tcW w:w="2119" w:type="dxa"/>
          </w:tcPr>
          <w:p w:rsidR="002A00CC" w:rsidRPr="003B32F0" w:rsidRDefault="002A00CC" w:rsidP="00F75CCA">
            <w:pPr>
              <w:jc w:val="center"/>
            </w:pPr>
          </w:p>
        </w:tc>
      </w:tr>
      <w:tr w:rsidR="002A00CC" w:rsidRPr="003B32F0" w:rsidTr="00F15AB1">
        <w:tc>
          <w:tcPr>
            <w:tcW w:w="707" w:type="dxa"/>
          </w:tcPr>
          <w:p w:rsidR="002A00CC" w:rsidRPr="003B32F0" w:rsidRDefault="003F6564" w:rsidP="00F75CCA">
            <w:r w:rsidRPr="003B32F0">
              <w:rPr>
                <w:lang w:val="en-US"/>
              </w:rPr>
              <w:t>1</w:t>
            </w:r>
            <w:r w:rsidR="002A00CC" w:rsidRPr="003B32F0">
              <w:t>.</w:t>
            </w:r>
          </w:p>
        </w:tc>
        <w:tc>
          <w:tcPr>
            <w:tcW w:w="4998" w:type="dxa"/>
          </w:tcPr>
          <w:p w:rsidR="002A00CC" w:rsidRPr="003B32F0" w:rsidRDefault="002A00CC" w:rsidP="00F75CCA">
            <w:pPr>
              <w:jc w:val="both"/>
            </w:pPr>
            <w:r w:rsidRPr="003B32F0">
              <w:t xml:space="preserve">Осигуряване на заетост на млади хора до 29 годишна възраст </w:t>
            </w:r>
          </w:p>
        </w:tc>
        <w:tc>
          <w:tcPr>
            <w:tcW w:w="2349" w:type="dxa"/>
          </w:tcPr>
          <w:p w:rsidR="00E82DF2" w:rsidRDefault="003144E0" w:rsidP="003144E0">
            <w:pPr>
              <w:jc w:val="center"/>
              <w:rPr>
                <w:color w:val="000000"/>
              </w:rPr>
            </w:pPr>
            <w:r w:rsidRPr="003B32F0">
              <w:rPr>
                <w:color w:val="000000"/>
              </w:rPr>
              <w:t>Проект „</w:t>
            </w:r>
            <w:r w:rsidR="00CD4040">
              <w:rPr>
                <w:color w:val="000000"/>
              </w:rPr>
              <w:t>Младежка заетост+</w:t>
            </w:r>
            <w:r w:rsidRPr="003B32F0">
              <w:rPr>
                <w:color w:val="000000"/>
              </w:rPr>
              <w:t>” по ПРЧР</w:t>
            </w:r>
          </w:p>
          <w:p w:rsidR="00CD4040" w:rsidRPr="003B32F0" w:rsidRDefault="00CD4040" w:rsidP="003144E0">
            <w:pPr>
              <w:jc w:val="center"/>
              <w:rPr>
                <w:color w:val="000000"/>
              </w:rPr>
            </w:pPr>
            <w:r>
              <w:rPr>
                <w:color w:val="000000"/>
              </w:rPr>
              <w:t>2021-2027</w:t>
            </w:r>
          </w:p>
          <w:p w:rsidR="00EA5DDA" w:rsidRPr="003B32F0" w:rsidRDefault="00EA5DDA" w:rsidP="003144E0">
            <w:pPr>
              <w:jc w:val="center"/>
              <w:rPr>
                <w:color w:val="000000"/>
              </w:rPr>
            </w:pPr>
          </w:p>
          <w:p w:rsidR="002155B6" w:rsidRPr="002155B6" w:rsidRDefault="002155B6" w:rsidP="002155B6">
            <w:pPr>
              <w:jc w:val="center"/>
              <w:rPr>
                <w:color w:val="000000"/>
              </w:rPr>
            </w:pPr>
            <w:r>
              <w:rPr>
                <w:color w:val="000000"/>
              </w:rPr>
              <w:t>Проект</w:t>
            </w:r>
            <w:r w:rsidR="00EA5DDA" w:rsidRPr="003B32F0">
              <w:rPr>
                <w:color w:val="000000"/>
              </w:rPr>
              <w:t xml:space="preserve"> „</w:t>
            </w:r>
            <w:r>
              <w:rPr>
                <w:color w:val="000000"/>
              </w:rPr>
              <w:t>Младежки практики</w:t>
            </w:r>
            <w:r w:rsidR="00EA5DDA" w:rsidRPr="003B32F0">
              <w:rPr>
                <w:color w:val="000000"/>
              </w:rPr>
              <w:t>“</w:t>
            </w:r>
            <w:r w:rsidRPr="002155B6">
              <w:rPr>
                <w:color w:val="000000"/>
              </w:rPr>
              <w:t xml:space="preserve"> по ПРЧР</w:t>
            </w:r>
          </w:p>
          <w:p w:rsidR="00763DB3" w:rsidRPr="003B32F0" w:rsidRDefault="002155B6" w:rsidP="002155B6">
            <w:pPr>
              <w:jc w:val="center"/>
              <w:rPr>
                <w:color w:val="000000"/>
              </w:rPr>
            </w:pPr>
            <w:r w:rsidRPr="002155B6">
              <w:rPr>
                <w:color w:val="000000"/>
              </w:rPr>
              <w:t>2021-2027</w:t>
            </w:r>
          </w:p>
          <w:p w:rsidR="00A17C57" w:rsidRPr="003B32F0" w:rsidRDefault="00A17C57" w:rsidP="003144E0">
            <w:pPr>
              <w:jc w:val="center"/>
            </w:pPr>
          </w:p>
        </w:tc>
        <w:tc>
          <w:tcPr>
            <w:tcW w:w="2119" w:type="dxa"/>
          </w:tcPr>
          <w:p w:rsidR="00BF6480" w:rsidRPr="003B32F0" w:rsidRDefault="00BF6480" w:rsidP="00F75CCA">
            <w:pPr>
              <w:jc w:val="center"/>
            </w:pPr>
            <w:r w:rsidRPr="003B32F0">
              <w:t>Общинска администрация,</w:t>
            </w:r>
          </w:p>
          <w:p w:rsidR="002A00CC" w:rsidRPr="003B32F0" w:rsidRDefault="00BF6480" w:rsidP="00F75CCA">
            <w:pPr>
              <w:jc w:val="center"/>
            </w:pPr>
            <w:r w:rsidRPr="003B32F0">
              <w:t xml:space="preserve">Бюро по труда </w:t>
            </w:r>
          </w:p>
        </w:tc>
      </w:tr>
      <w:tr w:rsidR="0002316A" w:rsidRPr="003B32F0" w:rsidTr="00F15AB1">
        <w:tc>
          <w:tcPr>
            <w:tcW w:w="707" w:type="dxa"/>
          </w:tcPr>
          <w:p w:rsidR="0002316A" w:rsidRPr="003B32F0" w:rsidRDefault="00E45F71" w:rsidP="00F75CCA">
            <w:pPr>
              <w:rPr>
                <w:b/>
                <w:lang w:val="en-US"/>
              </w:rPr>
            </w:pPr>
            <w:r w:rsidRPr="003B32F0">
              <w:rPr>
                <w:b/>
                <w:lang w:val="en-US"/>
              </w:rPr>
              <w:t>II.</w:t>
            </w:r>
          </w:p>
        </w:tc>
        <w:tc>
          <w:tcPr>
            <w:tcW w:w="4998" w:type="dxa"/>
          </w:tcPr>
          <w:p w:rsidR="0002316A" w:rsidRPr="00891BB6" w:rsidRDefault="00891BB6" w:rsidP="00F75CCA">
            <w:pPr>
              <w:jc w:val="both"/>
              <w:rPr>
                <w:b/>
              </w:rPr>
            </w:pPr>
            <w:r>
              <w:rPr>
                <w:b/>
              </w:rPr>
              <w:t>АНГАЖИРАНОСТ, УЧАСТИЕ И РАВНИ ВЪЗМОЖНОСТИ</w:t>
            </w:r>
          </w:p>
          <w:p w:rsidR="00A17C57" w:rsidRPr="003B32F0" w:rsidRDefault="00A17C57" w:rsidP="00F75CCA">
            <w:pPr>
              <w:jc w:val="both"/>
              <w:rPr>
                <w:b/>
              </w:rPr>
            </w:pPr>
          </w:p>
        </w:tc>
        <w:tc>
          <w:tcPr>
            <w:tcW w:w="2349" w:type="dxa"/>
          </w:tcPr>
          <w:p w:rsidR="0002316A" w:rsidRPr="003B32F0" w:rsidRDefault="0002316A" w:rsidP="003144E0">
            <w:pPr>
              <w:jc w:val="center"/>
              <w:rPr>
                <w:color w:val="000000"/>
              </w:rPr>
            </w:pPr>
          </w:p>
        </w:tc>
        <w:tc>
          <w:tcPr>
            <w:tcW w:w="2119" w:type="dxa"/>
          </w:tcPr>
          <w:p w:rsidR="0002316A" w:rsidRPr="003B32F0" w:rsidRDefault="0002316A" w:rsidP="00F75CCA">
            <w:pPr>
              <w:jc w:val="center"/>
            </w:pPr>
          </w:p>
        </w:tc>
      </w:tr>
      <w:tr w:rsidR="0002316A" w:rsidRPr="003B32F0" w:rsidTr="00F15AB1">
        <w:tc>
          <w:tcPr>
            <w:tcW w:w="707" w:type="dxa"/>
          </w:tcPr>
          <w:p w:rsidR="0002316A" w:rsidRPr="003B32F0" w:rsidRDefault="00A17C57" w:rsidP="00F75CCA">
            <w:r w:rsidRPr="003B32F0">
              <w:t>1.</w:t>
            </w:r>
          </w:p>
        </w:tc>
        <w:tc>
          <w:tcPr>
            <w:tcW w:w="4998" w:type="dxa"/>
          </w:tcPr>
          <w:p w:rsidR="00B14B5A" w:rsidRPr="003B32F0" w:rsidRDefault="003F6564" w:rsidP="00F75CCA">
            <w:pPr>
              <w:jc w:val="both"/>
            </w:pPr>
            <w:r w:rsidRPr="003B32F0">
              <w:rPr>
                <w:rStyle w:val="filled-value2"/>
                <w:sz w:val="24"/>
                <w:szCs w:val="24"/>
                <w:specVanish w:val="0"/>
              </w:rPr>
              <w:t>Ползване на безплатен интернет чрез изградената</w:t>
            </w:r>
            <w:r w:rsidR="00E136D8" w:rsidRPr="003B32F0">
              <w:rPr>
                <w:rStyle w:val="filled-value2"/>
                <w:sz w:val="24"/>
                <w:szCs w:val="24"/>
                <w:specVanish w:val="0"/>
              </w:rPr>
              <w:t xml:space="preserve"> мрежа за безплатен интернет на публични места на територията на Община Венец по инициативата на Европейската комисия </w:t>
            </w:r>
            <w:r w:rsidR="00E136D8" w:rsidRPr="003B32F0">
              <w:rPr>
                <w:rStyle w:val="filled-value2"/>
                <w:sz w:val="24"/>
                <w:szCs w:val="24"/>
                <w:lang w:val="en-US"/>
                <w:specVanish w:val="0"/>
              </w:rPr>
              <w:t>WIFI4EU</w:t>
            </w:r>
          </w:p>
        </w:tc>
        <w:tc>
          <w:tcPr>
            <w:tcW w:w="2349" w:type="dxa"/>
          </w:tcPr>
          <w:p w:rsidR="0002316A" w:rsidRDefault="00F15AB1" w:rsidP="003144E0">
            <w:pPr>
              <w:jc w:val="center"/>
              <w:rPr>
                <w:color w:val="000000"/>
              </w:rPr>
            </w:pPr>
            <w:r w:rsidRPr="003B32F0">
              <w:rPr>
                <w:color w:val="000000"/>
              </w:rPr>
              <w:t>Европейска комисия</w:t>
            </w:r>
            <w:r w:rsidR="00A40E1A">
              <w:rPr>
                <w:color w:val="000000"/>
              </w:rPr>
              <w:t>,</w:t>
            </w:r>
          </w:p>
          <w:p w:rsidR="00A40E1A" w:rsidRPr="003B32F0" w:rsidRDefault="00A40E1A" w:rsidP="003144E0">
            <w:pPr>
              <w:jc w:val="center"/>
              <w:rPr>
                <w:color w:val="000000"/>
              </w:rPr>
            </w:pPr>
            <w:r>
              <w:rPr>
                <w:color w:val="000000"/>
              </w:rPr>
              <w:t>Общински бюджет</w:t>
            </w:r>
          </w:p>
        </w:tc>
        <w:tc>
          <w:tcPr>
            <w:tcW w:w="2119" w:type="dxa"/>
          </w:tcPr>
          <w:p w:rsidR="0002316A" w:rsidRPr="003B32F0" w:rsidRDefault="0072755A" w:rsidP="00F75CCA">
            <w:pPr>
              <w:jc w:val="center"/>
            </w:pPr>
            <w:r w:rsidRPr="003B32F0">
              <w:t>Общинска администрация</w:t>
            </w:r>
          </w:p>
        </w:tc>
      </w:tr>
      <w:tr w:rsidR="00891BB6" w:rsidRPr="003B32F0" w:rsidTr="00F15AB1">
        <w:tc>
          <w:tcPr>
            <w:tcW w:w="707" w:type="dxa"/>
          </w:tcPr>
          <w:p w:rsidR="00891BB6" w:rsidRPr="003B32F0" w:rsidRDefault="00763DB3" w:rsidP="00891BB6">
            <w:r>
              <w:t>2.</w:t>
            </w:r>
          </w:p>
        </w:tc>
        <w:tc>
          <w:tcPr>
            <w:tcW w:w="4998" w:type="dxa"/>
          </w:tcPr>
          <w:p w:rsidR="00891BB6" w:rsidRPr="003B32F0" w:rsidRDefault="00891BB6" w:rsidP="00891BB6">
            <w:pPr>
              <w:jc w:val="both"/>
            </w:pPr>
            <w:r w:rsidRPr="003B32F0">
              <w:rPr>
                <w:rStyle w:val="filled-value2"/>
                <w:sz w:val="24"/>
                <w:szCs w:val="24"/>
                <w:specVanish w:val="0"/>
              </w:rPr>
              <w:t>Участие на младите хора при решаване на младежките проблеми чрез участие в кръгли маси</w:t>
            </w:r>
          </w:p>
        </w:tc>
        <w:tc>
          <w:tcPr>
            <w:tcW w:w="2349" w:type="dxa"/>
          </w:tcPr>
          <w:p w:rsidR="00891BB6" w:rsidRPr="003B32F0" w:rsidRDefault="00891BB6" w:rsidP="00891BB6">
            <w:pPr>
              <w:jc w:val="center"/>
              <w:rPr>
                <w:color w:val="000000"/>
              </w:rPr>
            </w:pPr>
            <w:r w:rsidRPr="003B32F0">
              <w:rPr>
                <w:color w:val="000000"/>
              </w:rPr>
              <w:t>Общински бюджет, делегирани бюджети на училищата</w:t>
            </w:r>
          </w:p>
        </w:tc>
        <w:tc>
          <w:tcPr>
            <w:tcW w:w="2119" w:type="dxa"/>
          </w:tcPr>
          <w:p w:rsidR="00891BB6" w:rsidRPr="003B32F0" w:rsidRDefault="00891BB6" w:rsidP="00891BB6">
            <w:pPr>
              <w:jc w:val="center"/>
            </w:pPr>
            <w:r w:rsidRPr="003B32F0">
              <w:rPr>
                <w:color w:val="000000"/>
              </w:rPr>
              <w:t>Общинска администрация, училища, читалища</w:t>
            </w:r>
          </w:p>
        </w:tc>
      </w:tr>
      <w:tr w:rsidR="00891BB6" w:rsidRPr="003B32F0" w:rsidTr="00F15AB1">
        <w:tc>
          <w:tcPr>
            <w:tcW w:w="707" w:type="dxa"/>
          </w:tcPr>
          <w:p w:rsidR="00891BB6" w:rsidRPr="003B32F0" w:rsidRDefault="00763DB3" w:rsidP="00891BB6">
            <w:r>
              <w:t>3.</w:t>
            </w:r>
          </w:p>
        </w:tc>
        <w:tc>
          <w:tcPr>
            <w:tcW w:w="4998" w:type="dxa"/>
          </w:tcPr>
          <w:p w:rsidR="00891BB6" w:rsidRPr="003B32F0" w:rsidRDefault="00891BB6" w:rsidP="00891BB6">
            <w:pPr>
              <w:jc w:val="both"/>
            </w:pPr>
            <w:r w:rsidRPr="003B32F0">
              <w:t>Подпомагане дейността на читалищата в селата като културно-информационни центрове</w:t>
            </w:r>
          </w:p>
          <w:p w:rsidR="00891BB6" w:rsidRPr="003B32F0" w:rsidRDefault="00891BB6" w:rsidP="00891BB6">
            <w:pPr>
              <w:jc w:val="both"/>
            </w:pPr>
          </w:p>
        </w:tc>
        <w:tc>
          <w:tcPr>
            <w:tcW w:w="2349" w:type="dxa"/>
          </w:tcPr>
          <w:p w:rsidR="00891BB6" w:rsidRPr="003B32F0" w:rsidRDefault="00891BB6" w:rsidP="00891BB6">
            <w:pPr>
              <w:jc w:val="center"/>
              <w:rPr>
                <w:color w:val="000000"/>
              </w:rPr>
            </w:pPr>
            <w:r w:rsidRPr="003B32F0">
              <w:rPr>
                <w:color w:val="000000"/>
              </w:rPr>
              <w:t>Общинска администрация, читалища</w:t>
            </w:r>
          </w:p>
        </w:tc>
        <w:tc>
          <w:tcPr>
            <w:tcW w:w="2119" w:type="dxa"/>
          </w:tcPr>
          <w:p w:rsidR="00891BB6" w:rsidRPr="003B32F0" w:rsidRDefault="00891BB6" w:rsidP="00891BB6">
            <w:pPr>
              <w:jc w:val="center"/>
            </w:pPr>
            <w:r w:rsidRPr="003B32F0">
              <w:rPr>
                <w:color w:val="000000"/>
              </w:rPr>
              <w:t>Общинска администрация, читалища</w:t>
            </w:r>
          </w:p>
        </w:tc>
      </w:tr>
      <w:tr w:rsidR="00891BB6" w:rsidRPr="003B32F0" w:rsidTr="00F15AB1">
        <w:tc>
          <w:tcPr>
            <w:tcW w:w="707" w:type="dxa"/>
          </w:tcPr>
          <w:p w:rsidR="00891BB6" w:rsidRPr="003B32F0" w:rsidRDefault="00763DB3" w:rsidP="00891BB6">
            <w:r>
              <w:lastRenderedPageBreak/>
              <w:t>4.</w:t>
            </w:r>
          </w:p>
        </w:tc>
        <w:tc>
          <w:tcPr>
            <w:tcW w:w="4998" w:type="dxa"/>
          </w:tcPr>
          <w:p w:rsidR="00891BB6" w:rsidRPr="00086050" w:rsidRDefault="002D438E" w:rsidP="00891BB6">
            <w:pPr>
              <w:jc w:val="both"/>
              <w:rPr>
                <w:rStyle w:val="filled-value2"/>
                <w:sz w:val="24"/>
                <w:szCs w:val="24"/>
              </w:rPr>
            </w:pPr>
            <w:r>
              <w:t xml:space="preserve">Проекти на читалищата по мярка </w:t>
            </w:r>
            <w:r w:rsidRPr="002D438E">
              <w:t>„Изграждане на мрежа от дигитални клубове“ по Плана за възстановяване и устойчивост</w:t>
            </w:r>
          </w:p>
          <w:p w:rsidR="00891BB6" w:rsidRPr="003B32F0" w:rsidRDefault="00891BB6" w:rsidP="00891BB6">
            <w:pPr>
              <w:jc w:val="both"/>
            </w:pPr>
          </w:p>
        </w:tc>
        <w:tc>
          <w:tcPr>
            <w:tcW w:w="2349" w:type="dxa"/>
          </w:tcPr>
          <w:p w:rsidR="00B877F3" w:rsidRPr="00505E47" w:rsidRDefault="00505E47" w:rsidP="00891BB6">
            <w:pPr>
              <w:jc w:val="center"/>
              <w:rPr>
                <w:color w:val="000000"/>
              </w:rPr>
            </w:pPr>
            <w:r>
              <w:rPr>
                <w:color w:val="000000"/>
              </w:rPr>
              <w:t>План за възстановяване и устойчивост</w:t>
            </w:r>
          </w:p>
        </w:tc>
        <w:tc>
          <w:tcPr>
            <w:tcW w:w="2119" w:type="dxa"/>
          </w:tcPr>
          <w:p w:rsidR="00891BB6" w:rsidRPr="003B32F0" w:rsidRDefault="00891BB6" w:rsidP="00891BB6">
            <w:pPr>
              <w:jc w:val="center"/>
            </w:pPr>
            <w:r w:rsidRPr="003B32F0">
              <w:rPr>
                <w:color w:val="000000"/>
              </w:rPr>
              <w:t>Общинска администрация</w:t>
            </w:r>
          </w:p>
        </w:tc>
      </w:tr>
      <w:tr w:rsidR="00891BB6" w:rsidRPr="003B32F0" w:rsidTr="00F15AB1">
        <w:tc>
          <w:tcPr>
            <w:tcW w:w="707" w:type="dxa"/>
          </w:tcPr>
          <w:p w:rsidR="00891BB6" w:rsidRPr="003B32F0" w:rsidRDefault="00891BB6" w:rsidP="00891BB6">
            <w:pPr>
              <w:rPr>
                <w:b/>
                <w:lang w:val="en-US"/>
              </w:rPr>
            </w:pPr>
            <w:r w:rsidRPr="003B32F0">
              <w:rPr>
                <w:b/>
                <w:lang w:val="en-US"/>
              </w:rPr>
              <w:t>III.</w:t>
            </w:r>
          </w:p>
        </w:tc>
        <w:tc>
          <w:tcPr>
            <w:tcW w:w="4998" w:type="dxa"/>
          </w:tcPr>
          <w:p w:rsidR="00891BB6" w:rsidRPr="003B32F0" w:rsidRDefault="00891BB6" w:rsidP="00891BB6">
            <w:pPr>
              <w:jc w:val="both"/>
              <w:rPr>
                <w:b/>
              </w:rPr>
            </w:pPr>
            <w:r>
              <w:rPr>
                <w:b/>
              </w:rPr>
              <w:t>СОЦИАЛНО БЛАГОПОЛУЧИЕ, ФИЗИЧЕСКО И ПСИХИЧНО ЗДРАВЕ</w:t>
            </w:r>
          </w:p>
          <w:p w:rsidR="00891BB6" w:rsidRPr="003B32F0" w:rsidRDefault="00891BB6" w:rsidP="00891BB6">
            <w:pPr>
              <w:jc w:val="both"/>
              <w:rPr>
                <w:b/>
              </w:rPr>
            </w:pPr>
          </w:p>
        </w:tc>
        <w:tc>
          <w:tcPr>
            <w:tcW w:w="2349" w:type="dxa"/>
          </w:tcPr>
          <w:p w:rsidR="00891BB6" w:rsidRPr="003B32F0" w:rsidRDefault="00891BB6" w:rsidP="00891BB6">
            <w:pPr>
              <w:jc w:val="center"/>
              <w:rPr>
                <w:color w:val="000000"/>
              </w:rPr>
            </w:pPr>
          </w:p>
        </w:tc>
        <w:tc>
          <w:tcPr>
            <w:tcW w:w="2119" w:type="dxa"/>
          </w:tcPr>
          <w:p w:rsidR="00891BB6" w:rsidRPr="003B32F0" w:rsidRDefault="00891BB6" w:rsidP="00891BB6">
            <w:pPr>
              <w:jc w:val="center"/>
            </w:pPr>
          </w:p>
        </w:tc>
      </w:tr>
      <w:tr w:rsidR="00891BB6" w:rsidRPr="003B32F0" w:rsidTr="00F15AB1">
        <w:tc>
          <w:tcPr>
            <w:tcW w:w="707" w:type="dxa"/>
          </w:tcPr>
          <w:p w:rsidR="00891BB6" w:rsidRPr="003B32F0" w:rsidRDefault="00891BB6" w:rsidP="00891BB6">
            <w:r w:rsidRPr="003B32F0">
              <w:t>1.</w:t>
            </w:r>
          </w:p>
        </w:tc>
        <w:tc>
          <w:tcPr>
            <w:tcW w:w="4998" w:type="dxa"/>
          </w:tcPr>
          <w:p w:rsidR="00891BB6" w:rsidRPr="003B32F0" w:rsidRDefault="00891BB6" w:rsidP="00891BB6">
            <w:pPr>
              <w:jc w:val="both"/>
            </w:pPr>
            <w:r w:rsidRPr="003B32F0">
              <w:t>Насърчаване на физическата активност и спорт чрез създаване на условия за системни спортни занимания на деца и младежи в свободното им време</w:t>
            </w:r>
          </w:p>
        </w:tc>
        <w:tc>
          <w:tcPr>
            <w:tcW w:w="2349" w:type="dxa"/>
          </w:tcPr>
          <w:p w:rsidR="00891BB6" w:rsidRPr="003B32F0" w:rsidRDefault="00891BB6" w:rsidP="00891BB6">
            <w:pPr>
              <w:jc w:val="center"/>
              <w:rPr>
                <w:color w:val="000000"/>
              </w:rPr>
            </w:pPr>
            <w:r w:rsidRPr="003B32F0">
              <w:rPr>
                <w:color w:val="000000"/>
              </w:rPr>
              <w:t>Общински бюджет</w:t>
            </w:r>
          </w:p>
        </w:tc>
        <w:tc>
          <w:tcPr>
            <w:tcW w:w="2119" w:type="dxa"/>
          </w:tcPr>
          <w:p w:rsidR="00891BB6" w:rsidRPr="003B32F0" w:rsidRDefault="00891BB6" w:rsidP="00891BB6">
            <w:pPr>
              <w:jc w:val="center"/>
            </w:pPr>
            <w:r w:rsidRPr="003B32F0">
              <w:t>Общинска администрация,</w:t>
            </w:r>
          </w:p>
          <w:p w:rsidR="00891BB6" w:rsidRPr="003B32F0" w:rsidRDefault="001153DC" w:rsidP="00724325">
            <w:pPr>
              <w:jc w:val="center"/>
            </w:pPr>
            <w:r>
              <w:t>Спортни клубове /</w:t>
            </w:r>
            <w:r w:rsidR="00724325">
              <w:t>2</w:t>
            </w:r>
            <w:r w:rsidR="00891BB6" w:rsidRPr="003B32F0">
              <w:t xml:space="preserve"> бр./</w:t>
            </w:r>
          </w:p>
        </w:tc>
      </w:tr>
      <w:tr w:rsidR="006D0C4D" w:rsidRPr="003B32F0" w:rsidTr="00F15AB1">
        <w:tc>
          <w:tcPr>
            <w:tcW w:w="707" w:type="dxa"/>
          </w:tcPr>
          <w:p w:rsidR="006D0C4D" w:rsidRPr="003B32F0" w:rsidRDefault="006D0C4D" w:rsidP="00891BB6">
            <w:r>
              <w:t>2.</w:t>
            </w:r>
          </w:p>
        </w:tc>
        <w:tc>
          <w:tcPr>
            <w:tcW w:w="4998" w:type="dxa"/>
          </w:tcPr>
          <w:p w:rsidR="006D0C4D" w:rsidRPr="006D0C4D" w:rsidRDefault="002D438E" w:rsidP="00891BB6">
            <w:pPr>
              <w:jc w:val="both"/>
            </w:pPr>
            <w:r>
              <w:t>П</w:t>
            </w:r>
            <w:r w:rsidRPr="002D438E">
              <w:t>роект „Благоустрояване на парково пространство в кв. 31 в с. Осеновец, Община Венец – Етап 1“</w:t>
            </w:r>
          </w:p>
        </w:tc>
        <w:tc>
          <w:tcPr>
            <w:tcW w:w="2349" w:type="dxa"/>
          </w:tcPr>
          <w:p w:rsidR="006D0C4D" w:rsidRPr="003B32F0" w:rsidRDefault="001E1D21" w:rsidP="00891BB6">
            <w:pPr>
              <w:jc w:val="center"/>
              <w:rPr>
                <w:color w:val="000000"/>
              </w:rPr>
            </w:pPr>
            <w:r>
              <w:rPr>
                <w:color w:val="000000"/>
              </w:rPr>
              <w:t>Стратегически план за развитие на земеделието и селските райони</w:t>
            </w:r>
          </w:p>
        </w:tc>
        <w:tc>
          <w:tcPr>
            <w:tcW w:w="2119" w:type="dxa"/>
          </w:tcPr>
          <w:p w:rsidR="006D0C4D" w:rsidRDefault="006D0C4D" w:rsidP="006D0C4D">
            <w:pPr>
              <w:jc w:val="center"/>
            </w:pPr>
            <w:r>
              <w:t>Общинска администрация</w:t>
            </w:r>
          </w:p>
          <w:p w:rsidR="006D0C4D" w:rsidRPr="003B32F0" w:rsidRDefault="006D0C4D" w:rsidP="00891BB6">
            <w:pPr>
              <w:jc w:val="center"/>
            </w:pPr>
          </w:p>
        </w:tc>
      </w:tr>
      <w:tr w:rsidR="00C06EA0" w:rsidRPr="003B32F0" w:rsidTr="00F15AB1">
        <w:tc>
          <w:tcPr>
            <w:tcW w:w="707" w:type="dxa"/>
          </w:tcPr>
          <w:p w:rsidR="00C06EA0" w:rsidRPr="003B32F0" w:rsidRDefault="006D0C4D" w:rsidP="00C06EA0">
            <w:r>
              <w:t>3.</w:t>
            </w:r>
          </w:p>
        </w:tc>
        <w:tc>
          <w:tcPr>
            <w:tcW w:w="4998" w:type="dxa"/>
          </w:tcPr>
          <w:p w:rsidR="00C06EA0" w:rsidRDefault="00FA0869" w:rsidP="00C06EA0">
            <w:pPr>
              <w:jc w:val="both"/>
            </w:pPr>
            <w:r>
              <w:t xml:space="preserve">Създаване на зони за отдих в населените места на общината </w:t>
            </w:r>
            <w:r w:rsidRPr="00FA0869">
              <w:t>по Национална кампания „Чиста околна среда” на ПУДООС</w:t>
            </w:r>
          </w:p>
          <w:p w:rsidR="00C06EA0" w:rsidRPr="003B32F0" w:rsidRDefault="00C06EA0" w:rsidP="00C06EA0">
            <w:pPr>
              <w:jc w:val="both"/>
            </w:pPr>
          </w:p>
        </w:tc>
        <w:tc>
          <w:tcPr>
            <w:tcW w:w="2349" w:type="dxa"/>
          </w:tcPr>
          <w:p w:rsidR="00C06EA0" w:rsidRPr="003B32F0" w:rsidRDefault="00FA0869" w:rsidP="00FA0869">
            <w:pPr>
              <w:jc w:val="center"/>
              <w:rPr>
                <w:color w:val="000000"/>
              </w:rPr>
            </w:pPr>
            <w:r>
              <w:rPr>
                <w:color w:val="000000"/>
              </w:rPr>
              <w:t>Държавен бюджет</w:t>
            </w:r>
            <w:r w:rsidR="00C06EA0">
              <w:rPr>
                <w:color w:val="000000"/>
              </w:rPr>
              <w:t xml:space="preserve"> </w:t>
            </w:r>
          </w:p>
        </w:tc>
        <w:tc>
          <w:tcPr>
            <w:tcW w:w="2119" w:type="dxa"/>
          </w:tcPr>
          <w:p w:rsidR="00C06EA0" w:rsidRDefault="00C06EA0" w:rsidP="00C06EA0">
            <w:pPr>
              <w:jc w:val="center"/>
            </w:pPr>
            <w:r>
              <w:t>Общинска администрация</w:t>
            </w:r>
          </w:p>
          <w:p w:rsidR="00C06EA0" w:rsidRPr="003B32F0" w:rsidRDefault="00C06EA0" w:rsidP="00C06EA0">
            <w:pPr>
              <w:jc w:val="center"/>
            </w:pPr>
          </w:p>
        </w:tc>
      </w:tr>
      <w:tr w:rsidR="00E7354A" w:rsidRPr="003B32F0" w:rsidTr="00F15AB1">
        <w:tc>
          <w:tcPr>
            <w:tcW w:w="707" w:type="dxa"/>
          </w:tcPr>
          <w:p w:rsidR="00E7354A" w:rsidRPr="003B32F0" w:rsidRDefault="006D0C4D" w:rsidP="00891BB6">
            <w:r>
              <w:t>4</w:t>
            </w:r>
            <w:r w:rsidR="00E7354A">
              <w:t>.</w:t>
            </w:r>
          </w:p>
        </w:tc>
        <w:tc>
          <w:tcPr>
            <w:tcW w:w="4998" w:type="dxa"/>
          </w:tcPr>
          <w:p w:rsidR="00E7354A" w:rsidRPr="00204022" w:rsidRDefault="00E7354A" w:rsidP="00891BB6">
            <w:pPr>
              <w:jc w:val="both"/>
            </w:pPr>
            <w:r>
              <w:t>Честване на Международния ден на младежта</w:t>
            </w:r>
            <w:r w:rsidR="00204022">
              <w:t>.</w:t>
            </w:r>
          </w:p>
          <w:p w:rsidR="00E7354A" w:rsidRPr="003B32F0" w:rsidRDefault="007935D4" w:rsidP="00891BB6">
            <w:pPr>
              <w:jc w:val="both"/>
            </w:pPr>
            <w:r>
              <w:t>Организиране на младежки фестивал през месец август</w:t>
            </w:r>
            <w:r w:rsidR="00204022">
              <w:t>, включващ богата развлекателна програма.</w:t>
            </w:r>
          </w:p>
        </w:tc>
        <w:tc>
          <w:tcPr>
            <w:tcW w:w="2349" w:type="dxa"/>
          </w:tcPr>
          <w:p w:rsidR="00E7354A" w:rsidRPr="003B32F0" w:rsidRDefault="00E7354A" w:rsidP="00891BB6">
            <w:pPr>
              <w:jc w:val="center"/>
              <w:rPr>
                <w:color w:val="000000"/>
              </w:rPr>
            </w:pPr>
            <w:r>
              <w:rPr>
                <w:color w:val="000000"/>
              </w:rPr>
              <w:t>Общински бюджет</w:t>
            </w:r>
          </w:p>
        </w:tc>
        <w:tc>
          <w:tcPr>
            <w:tcW w:w="2119" w:type="dxa"/>
          </w:tcPr>
          <w:p w:rsidR="00E7354A" w:rsidRDefault="00E7354A" w:rsidP="00891BB6">
            <w:pPr>
              <w:jc w:val="center"/>
            </w:pPr>
            <w:r>
              <w:t>Общинска администрация</w:t>
            </w:r>
          </w:p>
          <w:p w:rsidR="00CD4040" w:rsidRPr="003B32F0" w:rsidRDefault="00CD4040" w:rsidP="00891BB6">
            <w:pPr>
              <w:jc w:val="center"/>
            </w:pPr>
          </w:p>
        </w:tc>
      </w:tr>
      <w:tr w:rsidR="007935D4" w:rsidRPr="003B32F0" w:rsidTr="00F15AB1">
        <w:tc>
          <w:tcPr>
            <w:tcW w:w="707" w:type="dxa"/>
          </w:tcPr>
          <w:p w:rsidR="007935D4" w:rsidRDefault="006D0C4D" w:rsidP="007935D4">
            <w:r>
              <w:t>5</w:t>
            </w:r>
            <w:r w:rsidR="007935D4">
              <w:t>.</w:t>
            </w:r>
          </w:p>
        </w:tc>
        <w:tc>
          <w:tcPr>
            <w:tcW w:w="4998" w:type="dxa"/>
          </w:tcPr>
          <w:p w:rsidR="007935D4" w:rsidRDefault="007935D4" w:rsidP="007935D4">
            <w:pPr>
              <w:jc w:val="both"/>
            </w:pPr>
            <w:r>
              <w:t xml:space="preserve">Еднократно финансово подпомагане на абитуриенти и студенти </w:t>
            </w:r>
          </w:p>
          <w:p w:rsidR="007935D4" w:rsidRDefault="007935D4" w:rsidP="007935D4">
            <w:pPr>
              <w:jc w:val="both"/>
            </w:pPr>
          </w:p>
        </w:tc>
        <w:tc>
          <w:tcPr>
            <w:tcW w:w="2349" w:type="dxa"/>
          </w:tcPr>
          <w:p w:rsidR="007935D4" w:rsidRPr="003B32F0" w:rsidRDefault="007935D4" w:rsidP="007935D4">
            <w:pPr>
              <w:jc w:val="center"/>
              <w:rPr>
                <w:color w:val="000000"/>
              </w:rPr>
            </w:pPr>
            <w:r>
              <w:rPr>
                <w:color w:val="000000"/>
              </w:rPr>
              <w:t>Общински бюджет</w:t>
            </w:r>
          </w:p>
        </w:tc>
        <w:tc>
          <w:tcPr>
            <w:tcW w:w="2119" w:type="dxa"/>
          </w:tcPr>
          <w:p w:rsidR="007935D4" w:rsidRDefault="007935D4" w:rsidP="007935D4">
            <w:pPr>
              <w:jc w:val="center"/>
            </w:pPr>
            <w:r>
              <w:t>Общинска администрация, Общински съвет</w:t>
            </w:r>
          </w:p>
          <w:p w:rsidR="007935D4" w:rsidRPr="003B32F0" w:rsidRDefault="007935D4" w:rsidP="007935D4">
            <w:pPr>
              <w:jc w:val="center"/>
            </w:pPr>
          </w:p>
        </w:tc>
      </w:tr>
      <w:tr w:rsidR="00891BB6" w:rsidRPr="003B32F0" w:rsidTr="00F15AB1">
        <w:tc>
          <w:tcPr>
            <w:tcW w:w="707" w:type="dxa"/>
          </w:tcPr>
          <w:p w:rsidR="00891BB6" w:rsidRPr="003B32F0" w:rsidRDefault="006D0C4D" w:rsidP="00891BB6">
            <w:r>
              <w:t>6</w:t>
            </w:r>
            <w:r w:rsidR="00891BB6" w:rsidRPr="003B32F0">
              <w:t>.</w:t>
            </w:r>
          </w:p>
        </w:tc>
        <w:tc>
          <w:tcPr>
            <w:tcW w:w="4998" w:type="dxa"/>
          </w:tcPr>
          <w:p w:rsidR="00891BB6" w:rsidRPr="003B32F0" w:rsidRDefault="00891BB6" w:rsidP="009C38E6">
            <w:pPr>
              <w:jc w:val="both"/>
            </w:pPr>
            <w:r w:rsidRPr="003B32F0">
              <w:t xml:space="preserve">Беседи от медицинските специалисти по училища </w:t>
            </w:r>
            <w:r w:rsidR="009C38E6">
              <w:t>и здравния медиатор</w:t>
            </w:r>
            <w:r w:rsidR="009C38E6" w:rsidRPr="003B32F0">
              <w:t xml:space="preserve"> </w:t>
            </w:r>
            <w:r w:rsidRPr="003B32F0">
              <w:t>в час на класа</w:t>
            </w:r>
            <w:r w:rsidR="009C38E6">
              <w:t xml:space="preserve"> </w:t>
            </w:r>
          </w:p>
        </w:tc>
        <w:tc>
          <w:tcPr>
            <w:tcW w:w="2349" w:type="dxa"/>
          </w:tcPr>
          <w:p w:rsidR="00891BB6" w:rsidRPr="003B32F0" w:rsidRDefault="00891BB6" w:rsidP="00891BB6">
            <w:pPr>
              <w:jc w:val="center"/>
              <w:rPr>
                <w:color w:val="000000"/>
              </w:rPr>
            </w:pPr>
            <w:r w:rsidRPr="003B32F0">
              <w:rPr>
                <w:color w:val="000000"/>
              </w:rPr>
              <w:t>Общински бюджет, делегирани бюджети на училищата</w:t>
            </w:r>
          </w:p>
        </w:tc>
        <w:tc>
          <w:tcPr>
            <w:tcW w:w="2119" w:type="dxa"/>
          </w:tcPr>
          <w:p w:rsidR="00891BB6" w:rsidRPr="003B32F0" w:rsidRDefault="00891BB6" w:rsidP="00891BB6">
            <w:pPr>
              <w:jc w:val="center"/>
            </w:pPr>
            <w:r w:rsidRPr="003B32F0">
              <w:t>Общинска администрация чрез здравния медиатор, МКБППМН, ЦОП, училища</w:t>
            </w:r>
          </w:p>
          <w:p w:rsidR="00891BB6" w:rsidRPr="003B32F0" w:rsidRDefault="00891BB6" w:rsidP="00891BB6">
            <w:pPr>
              <w:jc w:val="center"/>
            </w:pPr>
          </w:p>
        </w:tc>
      </w:tr>
      <w:tr w:rsidR="00891BB6" w:rsidRPr="003B32F0" w:rsidTr="00F15AB1">
        <w:tc>
          <w:tcPr>
            <w:tcW w:w="707" w:type="dxa"/>
          </w:tcPr>
          <w:p w:rsidR="00891BB6" w:rsidRPr="003B32F0" w:rsidRDefault="006D0C4D" w:rsidP="00891BB6">
            <w:r>
              <w:t>7</w:t>
            </w:r>
            <w:r w:rsidR="00763DB3">
              <w:t>.</w:t>
            </w:r>
          </w:p>
        </w:tc>
        <w:tc>
          <w:tcPr>
            <w:tcW w:w="4998" w:type="dxa"/>
          </w:tcPr>
          <w:p w:rsidR="00891BB6" w:rsidRPr="003B32F0" w:rsidRDefault="00891BB6" w:rsidP="00891BB6">
            <w:pPr>
              <w:jc w:val="both"/>
            </w:pPr>
            <w:r w:rsidRPr="003B32F0">
              <w:t>Оказване на подкрепа на младите хора в социалните услуги в общността /ЦОП – с.</w:t>
            </w:r>
            <w:r w:rsidR="00CD4040">
              <w:t xml:space="preserve"> </w:t>
            </w:r>
            <w:r w:rsidRPr="003B32F0">
              <w:t>Венец, ЦОП – гр.</w:t>
            </w:r>
            <w:r w:rsidR="00CD4040">
              <w:t xml:space="preserve"> </w:t>
            </w:r>
            <w:r w:rsidRPr="003B32F0">
              <w:t>Шумен/</w:t>
            </w:r>
          </w:p>
          <w:p w:rsidR="00891BB6" w:rsidRPr="003B32F0" w:rsidRDefault="00891BB6" w:rsidP="00891BB6">
            <w:pPr>
              <w:jc w:val="both"/>
            </w:pPr>
          </w:p>
        </w:tc>
        <w:tc>
          <w:tcPr>
            <w:tcW w:w="2349" w:type="dxa"/>
          </w:tcPr>
          <w:p w:rsidR="00891BB6" w:rsidRPr="003B32F0" w:rsidRDefault="00891BB6" w:rsidP="00891BB6">
            <w:pPr>
              <w:jc w:val="center"/>
              <w:rPr>
                <w:color w:val="000000"/>
              </w:rPr>
            </w:pPr>
            <w:r w:rsidRPr="003B32F0">
              <w:rPr>
                <w:color w:val="000000"/>
              </w:rPr>
              <w:t>Държавно делегирана дейност</w:t>
            </w:r>
          </w:p>
        </w:tc>
        <w:tc>
          <w:tcPr>
            <w:tcW w:w="2119" w:type="dxa"/>
          </w:tcPr>
          <w:p w:rsidR="00891BB6" w:rsidRPr="003B32F0" w:rsidRDefault="00891BB6" w:rsidP="00891BB6">
            <w:pPr>
              <w:jc w:val="center"/>
            </w:pPr>
            <w:r w:rsidRPr="003B32F0">
              <w:t>ЦОП</w:t>
            </w:r>
          </w:p>
        </w:tc>
      </w:tr>
    </w:tbl>
    <w:p w:rsidR="000C405E" w:rsidRPr="003B32F0" w:rsidRDefault="000C405E" w:rsidP="00E82DF2">
      <w:pPr>
        <w:jc w:val="both"/>
        <w:rPr>
          <w:b/>
        </w:rPr>
      </w:pPr>
    </w:p>
    <w:p w:rsidR="007F745F" w:rsidRPr="003B32F0" w:rsidRDefault="007F745F" w:rsidP="00E82DF2">
      <w:pPr>
        <w:jc w:val="both"/>
        <w:rPr>
          <w:b/>
        </w:rPr>
      </w:pPr>
    </w:p>
    <w:p w:rsidR="00E5083B" w:rsidRPr="003B32F0" w:rsidRDefault="00E5083B" w:rsidP="007F745F">
      <w:pPr>
        <w:ind w:firstLine="708"/>
        <w:jc w:val="both"/>
      </w:pPr>
      <w:r w:rsidRPr="003B32F0">
        <w:t xml:space="preserve">Настоящият План е приет с Решение № </w:t>
      </w:r>
      <w:r w:rsidR="003144E0" w:rsidRPr="003B32F0">
        <w:t>………….</w:t>
      </w:r>
      <w:r w:rsidR="0066256A" w:rsidRPr="003B32F0">
        <w:t xml:space="preserve"> </w:t>
      </w:r>
      <w:r w:rsidRPr="003B32F0">
        <w:t xml:space="preserve">по протокол № </w:t>
      </w:r>
      <w:r w:rsidR="003144E0" w:rsidRPr="003B32F0">
        <w:t>……</w:t>
      </w:r>
      <w:r w:rsidR="005E4477" w:rsidRPr="003B32F0">
        <w:rPr>
          <w:lang w:val="en-US"/>
        </w:rPr>
        <w:t xml:space="preserve"> </w:t>
      </w:r>
      <w:r w:rsidRPr="003B32F0">
        <w:t xml:space="preserve">от проведено заседание на Общински съвет - </w:t>
      </w:r>
      <w:r w:rsidR="00930C7F" w:rsidRPr="003B32F0">
        <w:t>Венец</w:t>
      </w:r>
      <w:r w:rsidRPr="003B32F0">
        <w:t xml:space="preserve"> на </w:t>
      </w:r>
      <w:r w:rsidR="003144E0" w:rsidRPr="003B32F0">
        <w:t>…………..</w:t>
      </w:r>
      <w:r w:rsidR="00B561E5" w:rsidRPr="003B32F0">
        <w:t xml:space="preserve"> г.</w:t>
      </w:r>
    </w:p>
    <w:sectPr w:rsidR="00E5083B" w:rsidRPr="003B32F0" w:rsidSect="00EA1C41">
      <w:pgSz w:w="11906" w:h="16838"/>
      <w:pgMar w:top="851" w:right="1077" w:bottom="993"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8B6" w:rsidRDefault="008068B6" w:rsidP="00912D8F">
      <w:r>
        <w:separator/>
      </w:r>
    </w:p>
  </w:endnote>
  <w:endnote w:type="continuationSeparator" w:id="0">
    <w:p w:rsidR="008068B6" w:rsidRDefault="008068B6" w:rsidP="0091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8B6" w:rsidRDefault="008068B6" w:rsidP="00912D8F">
      <w:r>
        <w:separator/>
      </w:r>
    </w:p>
  </w:footnote>
  <w:footnote w:type="continuationSeparator" w:id="0">
    <w:p w:rsidR="008068B6" w:rsidRDefault="008068B6" w:rsidP="00912D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1B1"/>
    <w:multiLevelType w:val="hybridMultilevel"/>
    <w:tmpl w:val="BC66437A"/>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DB66C2"/>
    <w:multiLevelType w:val="hybridMultilevel"/>
    <w:tmpl w:val="E17CFE86"/>
    <w:lvl w:ilvl="0" w:tplc="0402000D">
      <w:start w:val="1"/>
      <w:numFmt w:val="bullet"/>
      <w:lvlText w:val=""/>
      <w:lvlJc w:val="left"/>
      <w:pPr>
        <w:tabs>
          <w:tab w:val="num" w:pos="720"/>
        </w:tabs>
        <w:ind w:left="720" w:hanging="360"/>
      </w:pPr>
      <w:rPr>
        <w:rFonts w:ascii="Wingdings" w:hAnsi="Wingdings"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F76BC"/>
    <w:multiLevelType w:val="hybridMultilevel"/>
    <w:tmpl w:val="AADA0584"/>
    <w:lvl w:ilvl="0" w:tplc="04020001">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25749F2"/>
    <w:multiLevelType w:val="multilevel"/>
    <w:tmpl w:val="F4F60E58"/>
    <w:lvl w:ilvl="0">
      <w:start w:val="2"/>
      <w:numFmt w:val="decimal"/>
      <w:lvlText w:val="%1."/>
      <w:lvlJc w:val="left"/>
      <w:pPr>
        <w:ind w:left="360" w:hanging="360"/>
      </w:pPr>
      <w:rPr>
        <w:rFonts w:hint="default"/>
      </w:rPr>
    </w:lvl>
    <w:lvl w:ilvl="1">
      <w:start w:val="4"/>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261A7D7B"/>
    <w:multiLevelType w:val="multilevel"/>
    <w:tmpl w:val="4364A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D0393A"/>
    <w:multiLevelType w:val="hybridMultilevel"/>
    <w:tmpl w:val="4196839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BA32431"/>
    <w:multiLevelType w:val="multilevel"/>
    <w:tmpl w:val="5408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7879EA"/>
    <w:multiLevelType w:val="multilevel"/>
    <w:tmpl w:val="9AA6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157499"/>
    <w:multiLevelType w:val="hybridMultilevel"/>
    <w:tmpl w:val="E6B0AFA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6C793660"/>
    <w:multiLevelType w:val="hybridMultilevel"/>
    <w:tmpl w:val="89FAA2CE"/>
    <w:lvl w:ilvl="0" w:tplc="2424D4A2">
      <w:start w:val="1"/>
      <w:numFmt w:val="decimal"/>
      <w:lvlText w:val="%1."/>
      <w:lvlJc w:val="left"/>
      <w:pPr>
        <w:tabs>
          <w:tab w:val="num" w:pos="580"/>
        </w:tabs>
        <w:ind w:left="580" w:hanging="360"/>
      </w:pPr>
      <w:rPr>
        <w:rFonts w:hint="default"/>
        <w:b w:val="0"/>
        <w:sz w:val="24"/>
        <w:szCs w:val="24"/>
      </w:rPr>
    </w:lvl>
    <w:lvl w:ilvl="1" w:tplc="04020019" w:tentative="1">
      <w:start w:val="1"/>
      <w:numFmt w:val="lowerLetter"/>
      <w:lvlText w:val="%2."/>
      <w:lvlJc w:val="left"/>
      <w:pPr>
        <w:tabs>
          <w:tab w:val="num" w:pos="1300"/>
        </w:tabs>
        <w:ind w:left="1300" w:hanging="360"/>
      </w:pPr>
    </w:lvl>
    <w:lvl w:ilvl="2" w:tplc="0402001B" w:tentative="1">
      <w:start w:val="1"/>
      <w:numFmt w:val="lowerRoman"/>
      <w:lvlText w:val="%3."/>
      <w:lvlJc w:val="right"/>
      <w:pPr>
        <w:tabs>
          <w:tab w:val="num" w:pos="2020"/>
        </w:tabs>
        <w:ind w:left="2020" w:hanging="180"/>
      </w:pPr>
    </w:lvl>
    <w:lvl w:ilvl="3" w:tplc="0402000F" w:tentative="1">
      <w:start w:val="1"/>
      <w:numFmt w:val="decimal"/>
      <w:lvlText w:val="%4."/>
      <w:lvlJc w:val="left"/>
      <w:pPr>
        <w:tabs>
          <w:tab w:val="num" w:pos="2740"/>
        </w:tabs>
        <w:ind w:left="2740" w:hanging="360"/>
      </w:pPr>
    </w:lvl>
    <w:lvl w:ilvl="4" w:tplc="04020019" w:tentative="1">
      <w:start w:val="1"/>
      <w:numFmt w:val="lowerLetter"/>
      <w:lvlText w:val="%5."/>
      <w:lvlJc w:val="left"/>
      <w:pPr>
        <w:tabs>
          <w:tab w:val="num" w:pos="3460"/>
        </w:tabs>
        <w:ind w:left="3460" w:hanging="360"/>
      </w:pPr>
    </w:lvl>
    <w:lvl w:ilvl="5" w:tplc="0402001B" w:tentative="1">
      <w:start w:val="1"/>
      <w:numFmt w:val="lowerRoman"/>
      <w:lvlText w:val="%6."/>
      <w:lvlJc w:val="right"/>
      <w:pPr>
        <w:tabs>
          <w:tab w:val="num" w:pos="4180"/>
        </w:tabs>
        <w:ind w:left="4180" w:hanging="180"/>
      </w:pPr>
    </w:lvl>
    <w:lvl w:ilvl="6" w:tplc="0402000F" w:tentative="1">
      <w:start w:val="1"/>
      <w:numFmt w:val="decimal"/>
      <w:lvlText w:val="%7."/>
      <w:lvlJc w:val="left"/>
      <w:pPr>
        <w:tabs>
          <w:tab w:val="num" w:pos="4900"/>
        </w:tabs>
        <w:ind w:left="4900" w:hanging="360"/>
      </w:pPr>
    </w:lvl>
    <w:lvl w:ilvl="7" w:tplc="04020019" w:tentative="1">
      <w:start w:val="1"/>
      <w:numFmt w:val="lowerLetter"/>
      <w:lvlText w:val="%8."/>
      <w:lvlJc w:val="left"/>
      <w:pPr>
        <w:tabs>
          <w:tab w:val="num" w:pos="5620"/>
        </w:tabs>
        <w:ind w:left="5620" w:hanging="360"/>
      </w:pPr>
    </w:lvl>
    <w:lvl w:ilvl="8" w:tplc="0402001B" w:tentative="1">
      <w:start w:val="1"/>
      <w:numFmt w:val="lowerRoman"/>
      <w:lvlText w:val="%9."/>
      <w:lvlJc w:val="right"/>
      <w:pPr>
        <w:tabs>
          <w:tab w:val="num" w:pos="6340"/>
        </w:tabs>
        <w:ind w:left="6340" w:hanging="180"/>
      </w:pPr>
    </w:lvl>
  </w:abstractNum>
  <w:num w:numId="1">
    <w:abstractNumId w:val="0"/>
  </w:num>
  <w:num w:numId="2">
    <w:abstractNumId w:val="5"/>
  </w:num>
  <w:num w:numId="3">
    <w:abstractNumId w:val="8"/>
  </w:num>
  <w:num w:numId="4">
    <w:abstractNumId w:val="1"/>
  </w:num>
  <w:num w:numId="5">
    <w:abstractNumId w:val="9"/>
  </w:num>
  <w:num w:numId="6">
    <w:abstractNumId w:val="2"/>
  </w:num>
  <w:num w:numId="7">
    <w:abstractNumId w:val="4"/>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4E5"/>
    <w:rsid w:val="00002F8A"/>
    <w:rsid w:val="0000403B"/>
    <w:rsid w:val="00011ADB"/>
    <w:rsid w:val="0002316A"/>
    <w:rsid w:val="000253D9"/>
    <w:rsid w:val="00032D1C"/>
    <w:rsid w:val="00035EF0"/>
    <w:rsid w:val="00037FB9"/>
    <w:rsid w:val="00044392"/>
    <w:rsid w:val="000726CA"/>
    <w:rsid w:val="00086050"/>
    <w:rsid w:val="000A1CDE"/>
    <w:rsid w:val="000A3C40"/>
    <w:rsid w:val="000C162D"/>
    <w:rsid w:val="000C3007"/>
    <w:rsid w:val="000C405E"/>
    <w:rsid w:val="000D2BD2"/>
    <w:rsid w:val="000E35DA"/>
    <w:rsid w:val="000F499B"/>
    <w:rsid w:val="0010778A"/>
    <w:rsid w:val="001153DC"/>
    <w:rsid w:val="00115D6B"/>
    <w:rsid w:val="00141551"/>
    <w:rsid w:val="0018337A"/>
    <w:rsid w:val="0019160D"/>
    <w:rsid w:val="001976CB"/>
    <w:rsid w:val="001A251C"/>
    <w:rsid w:val="001A3243"/>
    <w:rsid w:val="001B2BFF"/>
    <w:rsid w:val="001B37AE"/>
    <w:rsid w:val="001C57F9"/>
    <w:rsid w:val="001D45CB"/>
    <w:rsid w:val="001E1D21"/>
    <w:rsid w:val="00204022"/>
    <w:rsid w:val="00204BC5"/>
    <w:rsid w:val="0021106B"/>
    <w:rsid w:val="002123BF"/>
    <w:rsid w:val="002155B6"/>
    <w:rsid w:val="00247C30"/>
    <w:rsid w:val="00281564"/>
    <w:rsid w:val="00281D43"/>
    <w:rsid w:val="0029063B"/>
    <w:rsid w:val="002911DA"/>
    <w:rsid w:val="00291B23"/>
    <w:rsid w:val="002A00CC"/>
    <w:rsid w:val="002D438E"/>
    <w:rsid w:val="0031090B"/>
    <w:rsid w:val="00312748"/>
    <w:rsid w:val="003144E0"/>
    <w:rsid w:val="00324182"/>
    <w:rsid w:val="00325949"/>
    <w:rsid w:val="003507D5"/>
    <w:rsid w:val="003B32F0"/>
    <w:rsid w:val="003E5750"/>
    <w:rsid w:val="003F1EB6"/>
    <w:rsid w:val="003F4320"/>
    <w:rsid w:val="003F6564"/>
    <w:rsid w:val="0042717A"/>
    <w:rsid w:val="00430062"/>
    <w:rsid w:val="00432BFC"/>
    <w:rsid w:val="00437670"/>
    <w:rsid w:val="00441770"/>
    <w:rsid w:val="0044740D"/>
    <w:rsid w:val="004508B5"/>
    <w:rsid w:val="004615AB"/>
    <w:rsid w:val="00480B92"/>
    <w:rsid w:val="00492D4E"/>
    <w:rsid w:val="00493DCE"/>
    <w:rsid w:val="0049650A"/>
    <w:rsid w:val="004A6F0D"/>
    <w:rsid w:val="004C73A8"/>
    <w:rsid w:val="004D4EC8"/>
    <w:rsid w:val="004E057B"/>
    <w:rsid w:val="004F4482"/>
    <w:rsid w:val="004F47F3"/>
    <w:rsid w:val="00505E47"/>
    <w:rsid w:val="005101AC"/>
    <w:rsid w:val="00510802"/>
    <w:rsid w:val="00517BF1"/>
    <w:rsid w:val="00532FFF"/>
    <w:rsid w:val="0054294D"/>
    <w:rsid w:val="00544E94"/>
    <w:rsid w:val="00545A13"/>
    <w:rsid w:val="00563006"/>
    <w:rsid w:val="00564B16"/>
    <w:rsid w:val="00587C19"/>
    <w:rsid w:val="005D4B19"/>
    <w:rsid w:val="005D5F5C"/>
    <w:rsid w:val="005E4477"/>
    <w:rsid w:val="005F5631"/>
    <w:rsid w:val="006076BB"/>
    <w:rsid w:val="00624307"/>
    <w:rsid w:val="00626A3A"/>
    <w:rsid w:val="00630334"/>
    <w:rsid w:val="00642506"/>
    <w:rsid w:val="0066256A"/>
    <w:rsid w:val="00673EEE"/>
    <w:rsid w:val="00684633"/>
    <w:rsid w:val="006A4C47"/>
    <w:rsid w:val="006B4820"/>
    <w:rsid w:val="006C1289"/>
    <w:rsid w:val="006D0C4D"/>
    <w:rsid w:val="006D293F"/>
    <w:rsid w:val="006D466F"/>
    <w:rsid w:val="006F4AF9"/>
    <w:rsid w:val="00724325"/>
    <w:rsid w:val="0072755A"/>
    <w:rsid w:val="00727EBD"/>
    <w:rsid w:val="007410E0"/>
    <w:rsid w:val="00763DB3"/>
    <w:rsid w:val="007715CB"/>
    <w:rsid w:val="007827D0"/>
    <w:rsid w:val="007935D4"/>
    <w:rsid w:val="007B18AD"/>
    <w:rsid w:val="007B6489"/>
    <w:rsid w:val="007E37DC"/>
    <w:rsid w:val="007F4839"/>
    <w:rsid w:val="007F745F"/>
    <w:rsid w:val="00803810"/>
    <w:rsid w:val="008068B6"/>
    <w:rsid w:val="00825724"/>
    <w:rsid w:val="008258DC"/>
    <w:rsid w:val="0084413A"/>
    <w:rsid w:val="00845D0A"/>
    <w:rsid w:val="0085187D"/>
    <w:rsid w:val="008659FB"/>
    <w:rsid w:val="00891BB6"/>
    <w:rsid w:val="008A10E8"/>
    <w:rsid w:val="008C4D18"/>
    <w:rsid w:val="008E1508"/>
    <w:rsid w:val="008E28B8"/>
    <w:rsid w:val="008E5F09"/>
    <w:rsid w:val="008F6E25"/>
    <w:rsid w:val="00901A7E"/>
    <w:rsid w:val="0090671E"/>
    <w:rsid w:val="00912D8F"/>
    <w:rsid w:val="00927CC1"/>
    <w:rsid w:val="00930C7F"/>
    <w:rsid w:val="009508FD"/>
    <w:rsid w:val="009536E1"/>
    <w:rsid w:val="00977057"/>
    <w:rsid w:val="00986948"/>
    <w:rsid w:val="00996CA2"/>
    <w:rsid w:val="009B31C3"/>
    <w:rsid w:val="009C38E6"/>
    <w:rsid w:val="009C601D"/>
    <w:rsid w:val="009F0FB9"/>
    <w:rsid w:val="00A17C57"/>
    <w:rsid w:val="00A21A24"/>
    <w:rsid w:val="00A24601"/>
    <w:rsid w:val="00A40E1A"/>
    <w:rsid w:val="00A504E5"/>
    <w:rsid w:val="00A54CCB"/>
    <w:rsid w:val="00A86166"/>
    <w:rsid w:val="00A90F44"/>
    <w:rsid w:val="00A92002"/>
    <w:rsid w:val="00AA73F5"/>
    <w:rsid w:val="00AB52D5"/>
    <w:rsid w:val="00AC0553"/>
    <w:rsid w:val="00AC77D8"/>
    <w:rsid w:val="00AD2016"/>
    <w:rsid w:val="00AD3488"/>
    <w:rsid w:val="00AE2AFF"/>
    <w:rsid w:val="00AF6BFD"/>
    <w:rsid w:val="00B014B2"/>
    <w:rsid w:val="00B12963"/>
    <w:rsid w:val="00B14B5A"/>
    <w:rsid w:val="00B46D8B"/>
    <w:rsid w:val="00B47C8C"/>
    <w:rsid w:val="00B52F05"/>
    <w:rsid w:val="00B561E5"/>
    <w:rsid w:val="00B60C47"/>
    <w:rsid w:val="00B629C2"/>
    <w:rsid w:val="00B7051B"/>
    <w:rsid w:val="00B7070B"/>
    <w:rsid w:val="00B877F3"/>
    <w:rsid w:val="00B97441"/>
    <w:rsid w:val="00BB7DD8"/>
    <w:rsid w:val="00BC13A5"/>
    <w:rsid w:val="00BF2445"/>
    <w:rsid w:val="00BF6480"/>
    <w:rsid w:val="00C06EA0"/>
    <w:rsid w:val="00C179A9"/>
    <w:rsid w:val="00C24188"/>
    <w:rsid w:val="00C2433B"/>
    <w:rsid w:val="00C3774F"/>
    <w:rsid w:val="00C441DD"/>
    <w:rsid w:val="00C51610"/>
    <w:rsid w:val="00C53F21"/>
    <w:rsid w:val="00CA714A"/>
    <w:rsid w:val="00CB0B41"/>
    <w:rsid w:val="00CB2105"/>
    <w:rsid w:val="00CB2FE3"/>
    <w:rsid w:val="00CB32F4"/>
    <w:rsid w:val="00CD4040"/>
    <w:rsid w:val="00CD751B"/>
    <w:rsid w:val="00CE5081"/>
    <w:rsid w:val="00D11D02"/>
    <w:rsid w:val="00D43B16"/>
    <w:rsid w:val="00D76056"/>
    <w:rsid w:val="00D762F4"/>
    <w:rsid w:val="00D807F4"/>
    <w:rsid w:val="00DA02EE"/>
    <w:rsid w:val="00DC324F"/>
    <w:rsid w:val="00DC5999"/>
    <w:rsid w:val="00DC6714"/>
    <w:rsid w:val="00DC6AB2"/>
    <w:rsid w:val="00DF118F"/>
    <w:rsid w:val="00DF206C"/>
    <w:rsid w:val="00E00CA2"/>
    <w:rsid w:val="00E11B99"/>
    <w:rsid w:val="00E136D8"/>
    <w:rsid w:val="00E14D7E"/>
    <w:rsid w:val="00E216B1"/>
    <w:rsid w:val="00E22BC3"/>
    <w:rsid w:val="00E34853"/>
    <w:rsid w:val="00E350EE"/>
    <w:rsid w:val="00E37A94"/>
    <w:rsid w:val="00E45F71"/>
    <w:rsid w:val="00E5083B"/>
    <w:rsid w:val="00E6405B"/>
    <w:rsid w:val="00E65707"/>
    <w:rsid w:val="00E7354A"/>
    <w:rsid w:val="00E82AFA"/>
    <w:rsid w:val="00E82DF2"/>
    <w:rsid w:val="00E877CC"/>
    <w:rsid w:val="00EA1C41"/>
    <w:rsid w:val="00EA4DBD"/>
    <w:rsid w:val="00EA5DDA"/>
    <w:rsid w:val="00EB1FD4"/>
    <w:rsid w:val="00EC5EFF"/>
    <w:rsid w:val="00ED44E0"/>
    <w:rsid w:val="00EE0958"/>
    <w:rsid w:val="00EE6793"/>
    <w:rsid w:val="00EF0AF1"/>
    <w:rsid w:val="00F028F1"/>
    <w:rsid w:val="00F1056C"/>
    <w:rsid w:val="00F12B34"/>
    <w:rsid w:val="00F15AB1"/>
    <w:rsid w:val="00F20683"/>
    <w:rsid w:val="00F44754"/>
    <w:rsid w:val="00F5245C"/>
    <w:rsid w:val="00F75C96"/>
    <w:rsid w:val="00F75CCA"/>
    <w:rsid w:val="00F857A7"/>
    <w:rsid w:val="00F867DA"/>
    <w:rsid w:val="00F878C0"/>
    <w:rsid w:val="00F91A73"/>
    <w:rsid w:val="00F94D92"/>
    <w:rsid w:val="00FA0869"/>
    <w:rsid w:val="00FE36F4"/>
    <w:rsid w:val="00FE6B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E73BF4-D1BF-4C51-BF13-E9309A08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683"/>
    <w:rPr>
      <w:sz w:val="24"/>
      <w:szCs w:val="24"/>
    </w:rPr>
  </w:style>
  <w:style w:type="paragraph" w:styleId="2">
    <w:name w:val="heading 2"/>
    <w:basedOn w:val="a"/>
    <w:qFormat/>
    <w:rsid w:val="008F6E2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04E5"/>
    <w:pPr>
      <w:autoSpaceDE w:val="0"/>
      <w:autoSpaceDN w:val="0"/>
      <w:adjustRightInd w:val="0"/>
    </w:pPr>
    <w:rPr>
      <w:color w:val="000000"/>
      <w:sz w:val="24"/>
      <w:szCs w:val="24"/>
    </w:rPr>
  </w:style>
  <w:style w:type="character" w:styleId="a3">
    <w:name w:val="Strong"/>
    <w:basedOn w:val="a0"/>
    <w:qFormat/>
    <w:rsid w:val="00AC77D8"/>
    <w:rPr>
      <w:b/>
      <w:bCs/>
    </w:rPr>
  </w:style>
  <w:style w:type="character" w:customStyle="1" w:styleId="apple-converted-space">
    <w:name w:val="apple-converted-space"/>
    <w:basedOn w:val="a0"/>
    <w:rsid w:val="00AC77D8"/>
  </w:style>
  <w:style w:type="character" w:styleId="a4">
    <w:name w:val="Hyperlink"/>
    <w:basedOn w:val="a0"/>
    <w:rsid w:val="008F6E25"/>
    <w:rPr>
      <w:color w:val="0000FF"/>
      <w:u w:val="single"/>
    </w:rPr>
  </w:style>
  <w:style w:type="paragraph" w:customStyle="1" w:styleId="CharCharCharCharCharCharCharChar">
    <w:name w:val="Char Char Знак Char Char Знак Знак Char Char Знак Знак Char Char Знак Знак"/>
    <w:basedOn w:val="a"/>
    <w:rsid w:val="008F6E25"/>
    <w:pPr>
      <w:tabs>
        <w:tab w:val="left" w:pos="709"/>
      </w:tabs>
    </w:pPr>
    <w:rPr>
      <w:rFonts w:ascii="Tahoma" w:hAnsi="Tahoma"/>
      <w:lang w:val="pl-PL" w:eastAsia="pl-PL"/>
    </w:rPr>
  </w:style>
  <w:style w:type="table" w:styleId="a5">
    <w:name w:val="Table Grid"/>
    <w:basedOn w:val="a1"/>
    <w:rsid w:val="00510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w:basedOn w:val="a"/>
    <w:semiHidden/>
    <w:rsid w:val="005101AC"/>
    <w:pPr>
      <w:tabs>
        <w:tab w:val="left" w:pos="709"/>
      </w:tabs>
    </w:pPr>
    <w:rPr>
      <w:rFonts w:ascii="Futura Bk" w:hAnsi="Futura Bk"/>
      <w:lang w:val="pl-PL" w:eastAsia="pl-PL"/>
    </w:rPr>
  </w:style>
  <w:style w:type="paragraph" w:styleId="a7">
    <w:name w:val="header"/>
    <w:basedOn w:val="a"/>
    <w:rsid w:val="005101AC"/>
    <w:pPr>
      <w:tabs>
        <w:tab w:val="center" w:pos="4320"/>
        <w:tab w:val="right" w:pos="8640"/>
      </w:tabs>
    </w:pPr>
    <w:rPr>
      <w:sz w:val="20"/>
      <w:szCs w:val="20"/>
      <w:lang w:val="en-US"/>
    </w:rPr>
  </w:style>
  <w:style w:type="paragraph" w:styleId="a8">
    <w:name w:val="List Paragraph"/>
    <w:basedOn w:val="a"/>
    <w:uiPriority w:val="34"/>
    <w:qFormat/>
    <w:rsid w:val="00EA4DBD"/>
    <w:pPr>
      <w:ind w:left="720"/>
      <w:contextualSpacing/>
    </w:pPr>
  </w:style>
  <w:style w:type="character" w:customStyle="1" w:styleId="filled-value2">
    <w:name w:val="filled-value2"/>
    <w:basedOn w:val="a0"/>
    <w:rsid w:val="00EA4DBD"/>
    <w:rPr>
      <w:b w:val="0"/>
      <w:bCs w:val="0"/>
      <w:vanish w:val="0"/>
      <w:webHidden w:val="0"/>
      <w:sz w:val="23"/>
      <w:szCs w:val="23"/>
      <w:specVanish w:val="0"/>
    </w:rPr>
  </w:style>
  <w:style w:type="paragraph" w:styleId="a9">
    <w:name w:val="Normal (Web)"/>
    <w:basedOn w:val="a"/>
    <w:uiPriority w:val="99"/>
    <w:semiHidden/>
    <w:unhideWhenUsed/>
    <w:rsid w:val="008E5F09"/>
    <w:pPr>
      <w:spacing w:before="100" w:beforeAutospacing="1" w:after="100" w:afterAutospacing="1"/>
    </w:pPr>
    <w:rPr>
      <w:rFonts w:eastAsiaTheme="minorEastAsia"/>
    </w:rPr>
  </w:style>
  <w:style w:type="paragraph" w:styleId="aa">
    <w:name w:val="Balloon Text"/>
    <w:basedOn w:val="a"/>
    <w:link w:val="ab"/>
    <w:semiHidden/>
    <w:unhideWhenUsed/>
    <w:rsid w:val="00EA5DDA"/>
    <w:rPr>
      <w:rFonts w:ascii="Segoe UI" w:hAnsi="Segoe UI" w:cs="Segoe UI"/>
      <w:sz w:val="18"/>
      <w:szCs w:val="18"/>
    </w:rPr>
  </w:style>
  <w:style w:type="character" w:customStyle="1" w:styleId="ab">
    <w:name w:val="Изнесен текст Знак"/>
    <w:basedOn w:val="a0"/>
    <w:link w:val="aa"/>
    <w:semiHidden/>
    <w:rsid w:val="00EA5DDA"/>
    <w:rPr>
      <w:rFonts w:ascii="Segoe UI" w:hAnsi="Segoe UI" w:cs="Segoe UI"/>
      <w:sz w:val="18"/>
      <w:szCs w:val="18"/>
    </w:rPr>
  </w:style>
  <w:style w:type="paragraph" w:styleId="ac">
    <w:name w:val="No Spacing"/>
    <w:uiPriority w:val="1"/>
    <w:qFormat/>
    <w:rsid w:val="00EE6793"/>
    <w:rPr>
      <w:rFonts w:ascii="Arial Unicode MS" w:eastAsia="Arial Unicode MS" w:hAnsi="Arial Unicode MS" w:cs="Arial Unicode MS"/>
      <w:color w:val="000000"/>
      <w:sz w:val="24"/>
      <w:szCs w:val="24"/>
      <w:lang w:val="bg"/>
    </w:rPr>
  </w:style>
  <w:style w:type="character" w:customStyle="1" w:styleId="1">
    <w:name w:val="Основен текст1"/>
    <w:basedOn w:val="a0"/>
    <w:rsid w:val="00EE6793"/>
    <w:rPr>
      <w:rFonts w:ascii="Times New Roman" w:eastAsia="Times New Roman" w:hAnsi="Times New Roman" w:cs="Times New Roman"/>
      <w:b w:val="0"/>
      <w:bCs w:val="0"/>
      <w:i w:val="0"/>
      <w:iCs w:val="0"/>
      <w:smallCaps w:val="0"/>
      <w:strike w:val="0"/>
      <w:spacing w:val="0"/>
      <w:sz w:val="22"/>
      <w:szCs w:val="22"/>
    </w:rPr>
  </w:style>
  <w:style w:type="paragraph" w:styleId="ad">
    <w:name w:val="footer"/>
    <w:basedOn w:val="a"/>
    <w:link w:val="ae"/>
    <w:unhideWhenUsed/>
    <w:rsid w:val="00912D8F"/>
    <w:pPr>
      <w:tabs>
        <w:tab w:val="center" w:pos="4536"/>
        <w:tab w:val="right" w:pos="9072"/>
      </w:tabs>
    </w:pPr>
  </w:style>
  <w:style w:type="character" w:customStyle="1" w:styleId="ae">
    <w:name w:val="Долен колонтитул Знак"/>
    <w:basedOn w:val="a0"/>
    <w:link w:val="ad"/>
    <w:rsid w:val="00912D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8189">
      <w:bodyDiv w:val="1"/>
      <w:marLeft w:val="0"/>
      <w:marRight w:val="0"/>
      <w:marTop w:val="0"/>
      <w:marBottom w:val="0"/>
      <w:divBdr>
        <w:top w:val="none" w:sz="0" w:space="0" w:color="auto"/>
        <w:left w:val="none" w:sz="0" w:space="0" w:color="auto"/>
        <w:bottom w:val="none" w:sz="0" w:space="0" w:color="auto"/>
        <w:right w:val="none" w:sz="0" w:space="0" w:color="auto"/>
      </w:divBdr>
    </w:div>
    <w:div w:id="163589195">
      <w:bodyDiv w:val="1"/>
      <w:marLeft w:val="0"/>
      <w:marRight w:val="0"/>
      <w:marTop w:val="0"/>
      <w:marBottom w:val="0"/>
      <w:divBdr>
        <w:top w:val="none" w:sz="0" w:space="0" w:color="auto"/>
        <w:left w:val="none" w:sz="0" w:space="0" w:color="auto"/>
        <w:bottom w:val="none" w:sz="0" w:space="0" w:color="auto"/>
        <w:right w:val="none" w:sz="0" w:space="0" w:color="auto"/>
      </w:divBdr>
    </w:div>
    <w:div w:id="1281834841">
      <w:bodyDiv w:val="1"/>
      <w:marLeft w:val="0"/>
      <w:marRight w:val="0"/>
      <w:marTop w:val="0"/>
      <w:marBottom w:val="0"/>
      <w:divBdr>
        <w:top w:val="none" w:sz="0" w:space="0" w:color="auto"/>
        <w:left w:val="none" w:sz="0" w:space="0" w:color="auto"/>
        <w:bottom w:val="none" w:sz="0" w:space="0" w:color="auto"/>
        <w:right w:val="none" w:sz="0" w:space="0" w:color="auto"/>
      </w:divBdr>
    </w:div>
    <w:div w:id="1468468897">
      <w:bodyDiv w:val="1"/>
      <w:marLeft w:val="0"/>
      <w:marRight w:val="0"/>
      <w:marTop w:val="0"/>
      <w:marBottom w:val="0"/>
      <w:divBdr>
        <w:top w:val="none" w:sz="0" w:space="0" w:color="auto"/>
        <w:left w:val="none" w:sz="0" w:space="0" w:color="auto"/>
        <w:bottom w:val="none" w:sz="0" w:space="0" w:color="auto"/>
        <w:right w:val="none" w:sz="0" w:space="0" w:color="auto"/>
      </w:divBdr>
    </w:div>
    <w:div w:id="175042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99F92-2487-49A8-81F3-B7CED340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3115</Words>
  <Characters>17759</Characters>
  <Application>Microsoft Office Word</Application>
  <DocSecurity>0</DocSecurity>
  <Lines>147</Lines>
  <Paragraphs>41</Paragraphs>
  <ScaleCrop>false</ScaleCrop>
  <HeadingPairs>
    <vt:vector size="2" baseType="variant">
      <vt:variant>
        <vt:lpstr>Заглавие</vt:lpstr>
      </vt:variant>
      <vt:variant>
        <vt:i4>1</vt:i4>
      </vt:variant>
    </vt:vector>
  </HeadingPairs>
  <TitlesOfParts>
    <vt:vector size="1" baseType="lpstr">
      <vt:lpstr>ОБЩИНСКИ ПЛАН ЗА МЛАДЕЖТА В ОБЩИНА РОМАН ЗА 2013 г</vt:lpstr>
    </vt:vector>
  </TitlesOfParts>
  <Company>Obshtina</Company>
  <LinksUpToDate>false</LinksUpToDate>
  <CharactersWithSpaces>20833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ОБЩИНСКИ ПЛАН ЗА МЛАДЕЖТА В ОБЩИНА РОМАН ЗА 2013 г</dc:title>
  <dc:creator>GCvetanova</dc:creator>
  <cp:lastModifiedBy>User</cp:lastModifiedBy>
  <cp:revision>2</cp:revision>
  <cp:lastPrinted>2026-01-22T08:47:00Z</cp:lastPrinted>
  <dcterms:created xsi:type="dcterms:W3CDTF">2026-01-23T09:43:00Z</dcterms:created>
  <dcterms:modified xsi:type="dcterms:W3CDTF">2026-01-23T09:43:00Z</dcterms:modified>
</cp:coreProperties>
</file>